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14C" w:rsidRDefault="00050B5E">
      <w:pPr>
        <w:jc w:val="center"/>
        <w:rPr>
          <w:b/>
          <w:bCs/>
        </w:rPr>
      </w:pPr>
      <w:bookmarkStart w:id="0" w:name="_heading=h.desfg7m0kpq8" w:colFirst="0" w:colLast="0"/>
      <w:bookmarkEnd w:id="0"/>
      <w:r>
        <w:rPr>
          <w:b/>
          <w:bCs/>
        </w:rPr>
        <w:t>REPORT OF MARK PROTECTION COMMITTEE</w:t>
      </w:r>
      <w:r>
        <w:rPr>
          <w:b/>
          <w:bCs/>
        </w:rPr>
        <w:br/>
      </w:r>
      <w:r>
        <w:rPr>
          <w:b/>
          <w:bCs/>
          <w:u w:val="single"/>
        </w:rPr>
        <w:t>July 2025 – June 2026</w:t>
      </w:r>
    </w:p>
    <w:p w:rsidR="0010414C" w:rsidRDefault="00050B5E">
      <w:pPr>
        <w:spacing w:before="180"/>
        <w:rPr>
          <w:b/>
          <w:bCs/>
        </w:rPr>
      </w:pPr>
      <w:r>
        <w:rPr>
          <w:b/>
          <w:bCs/>
        </w:rPr>
        <w:t>Membership and Structure</w:t>
      </w:r>
    </w:p>
    <w:p w:rsidR="0010414C" w:rsidRDefault="00050B5E">
      <w:pPr>
        <w:spacing w:before="180"/>
      </w:pPr>
      <w:r>
        <w:t xml:space="preserve">Members of the WSFS Mark Protection Committee (“MPC”) from July 2025 through June 2026 were as follows, with the expiration of membership listed in parentheses after their name: Kayla Allen (appointed by Montréal until 2029); Judy Bemis (elected until 2026); Alan Bond (elected until 2028); Warren Buff (Chair, appointed by Seattle until 2027); Joni </w:t>
      </w:r>
      <w:proofErr w:type="spellStart"/>
      <w:r>
        <w:t>Dashoff</w:t>
      </w:r>
      <w:proofErr w:type="spellEnd"/>
      <w:r>
        <w:t xml:space="preserve"> (elected until 2026); Linda Deneroff (Secretary, elected until 2027); Donald E. Eastlake III (elected until 2027); David Ennis (appointed by Buffalo </w:t>
      </w:r>
      <w:proofErr w:type="spellStart"/>
      <w:r>
        <w:t>NASFiC</w:t>
      </w:r>
      <w:proofErr w:type="spellEnd"/>
      <w:r>
        <w:t xml:space="preserve"> 2024 until 2026); Olav </w:t>
      </w:r>
      <w:proofErr w:type="spellStart"/>
      <w:r>
        <w:t>Rokne</w:t>
      </w:r>
      <w:proofErr w:type="spellEnd"/>
      <w:r>
        <w:t xml:space="preserve"> (elected until 2027); Chris Rose (elected until 2028); Randall Shepherd (Vice Chair, appointed by </w:t>
      </w:r>
      <w:proofErr w:type="spellStart"/>
      <w:r>
        <w:t>LACon</w:t>
      </w:r>
      <w:proofErr w:type="spellEnd"/>
      <w:r>
        <w:t xml:space="preserve"> V until 2028); Alissa Wales (appointed by Glasgow until 2026); Nicholas Whyte (elected until 2028); Mike </w:t>
      </w:r>
      <w:proofErr w:type="spellStart"/>
      <w:r>
        <w:t>Willmoth</w:t>
      </w:r>
      <w:proofErr w:type="spellEnd"/>
      <w:r>
        <w:t xml:space="preserve"> (elected until 2026). Bruce Farr (Treasurer, was appointed ex officio until 2026). Don was originally elected chair for the 2025-2026 term, but the MPC later elected Warren to serve in that office instead.</w:t>
      </w:r>
    </w:p>
    <w:p w:rsidR="0010414C" w:rsidRDefault="00050B5E">
      <w:pPr>
        <w:spacing w:before="180"/>
      </w:pPr>
      <w:proofErr w:type="spellStart"/>
      <w:r>
        <w:t>Worldcon</w:t>
      </w:r>
      <w:proofErr w:type="spellEnd"/>
      <w:r>
        <w:t xml:space="preserve"> Intellectual Property (“WIP”) is a California public benefit/non-profit corporation (also recognized as a 501(c)(3) tax-exempt charity by the U.S. Internal Revenue Service) controlled by the MPC that holds the MPC’s bank account and WSFS’s service marks. The current MPC Financial Report is appended at the end of this document. A report from the WSFS Marketing Committee (“WSFSMC”) is included as an appendix to this report. The WSFSMC is an advisory board of the MPC and is responsible for managing the WSFS websites (TheHugoAwards.org, Worldcon.org, NASFiC.org, and WSFS.org) and social media accounts on Facebook and other social media.</w:t>
      </w:r>
    </w:p>
    <w:p w:rsidR="0010414C" w:rsidRDefault="00050B5E">
      <w:pPr>
        <w:spacing w:before="180"/>
        <w:rPr>
          <w:b/>
          <w:bCs/>
        </w:rPr>
      </w:pPr>
      <w:r>
        <w:rPr>
          <w:b/>
          <w:bCs/>
        </w:rPr>
        <w:t>REPORT</w:t>
      </w:r>
    </w:p>
    <w:p w:rsidR="0010414C" w:rsidRDefault="00050B5E">
      <w:r>
        <w:t xml:space="preserve">In 2025, an advisory board was created by the MPC consisting of MPC members Don Eastlake, Alan Bond, and Judy Bemis, as well as </w:t>
      </w:r>
      <w:proofErr w:type="spellStart"/>
      <w:r>
        <w:t>Jesi</w:t>
      </w:r>
      <w:proofErr w:type="spellEnd"/>
      <w:r>
        <w:t xml:space="preserve"> </w:t>
      </w:r>
      <w:proofErr w:type="spellStart"/>
      <w:r>
        <w:t>Lipp</w:t>
      </w:r>
      <w:proofErr w:type="spellEnd"/>
      <w:r>
        <w:t xml:space="preserve"> (2025 BM Chair), Kathy Bond 2025 </w:t>
      </w:r>
      <w:proofErr w:type="spellStart"/>
      <w:r>
        <w:t>Worldcon</w:t>
      </w:r>
      <w:proofErr w:type="spellEnd"/>
      <w:r>
        <w:t xml:space="preserve"> chair, and Joyce Lloyd (2026 </w:t>
      </w:r>
      <w:proofErr w:type="spellStart"/>
      <w:r>
        <w:t>Worldcon</w:t>
      </w:r>
      <w:proofErr w:type="spellEnd"/>
      <w:r>
        <w:t xml:space="preserve"> chair), to write a new Licensing Agreement to present to </w:t>
      </w:r>
      <w:proofErr w:type="spellStart"/>
      <w:r>
        <w:t>Worldcon</w:t>
      </w:r>
      <w:proofErr w:type="spellEnd"/>
      <w:r>
        <w:t xml:space="preserve"> bids beginning with the 2028 bids. The Licensing Agreement was created in 2026, and the two 2028 bids (Brisbane and Nuremberg) have signed the agreement.</w:t>
      </w:r>
    </w:p>
    <w:p w:rsidR="0010414C" w:rsidRDefault="00050B5E">
      <w:pPr>
        <w:spacing w:before="180"/>
      </w:pPr>
      <w:r>
        <w:t xml:space="preserve">We are once again updating our domains and plan to move them from </w:t>
      </w:r>
      <w:proofErr w:type="spellStart"/>
      <w:r>
        <w:t>Gandi</w:t>
      </w:r>
      <w:proofErr w:type="spellEnd"/>
      <w:r>
        <w:t xml:space="preserve"> to </w:t>
      </w:r>
      <w:proofErr w:type="spellStart"/>
      <w:r>
        <w:t>Porkbun</w:t>
      </w:r>
      <w:proofErr w:type="spellEnd"/>
      <w:r>
        <w:t xml:space="preserve"> as they expire. Chris reported that </w:t>
      </w:r>
      <w:proofErr w:type="spellStart"/>
      <w:r>
        <w:t>Porkbun</w:t>
      </w:r>
      <w:proofErr w:type="spellEnd"/>
      <w:r>
        <w:t xml:space="preserve"> is cheaper and offers more benefits.</w:t>
      </w:r>
    </w:p>
    <w:p w:rsidR="0010414C" w:rsidRDefault="00050B5E">
      <w:pPr>
        <w:spacing w:before="280" w:after="280"/>
        <w:rPr>
          <w:color w:val="000000"/>
          <w:sz w:val="24"/>
          <w:szCs w:val="24"/>
        </w:rPr>
        <w:sectPr w:rsidR="0010414C">
          <w:pgSz w:w="12240" w:h="15840"/>
          <w:pgMar w:top="1440" w:right="1440" w:bottom="1440" w:left="1440" w:header="720" w:footer="720" w:gutter="0"/>
          <w:pgNumType w:start="1"/>
          <w:cols w:space="720"/>
        </w:sectPr>
      </w:pPr>
      <w:r>
        <w:t>We are still working with our attorneys to register our trademark for “Hugo Award” in Australia.</w:t>
      </w:r>
    </w:p>
    <w:p w:rsidR="0010414C" w:rsidRDefault="00050B5E">
      <w:pPr>
        <w:pageBreakBefore/>
        <w:spacing w:after="120"/>
        <w:rPr>
          <w:rFonts w:ascii="Calibri" w:eastAsia="Calibri" w:hAnsi="Calibri" w:cs="Calibri"/>
          <w:b/>
          <w:bCs/>
        </w:rPr>
      </w:pPr>
      <w:r>
        <w:rPr>
          <w:rFonts w:ascii="Calibri" w:eastAsia="Calibri" w:hAnsi="Calibri" w:cs="Calibri"/>
          <w:b/>
          <w:bCs/>
        </w:rPr>
        <w:lastRenderedPageBreak/>
        <w:t>Domain Names</w:t>
      </w:r>
    </w:p>
    <w:tbl>
      <w:tblPr>
        <w:tblStyle w:val="a"/>
        <w:tblW w:w="10088" w:type="dxa"/>
        <w:tblInd w:w="53"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Layout w:type="fixed"/>
        <w:tblLook w:val="0000" w:firstRow="0" w:lastRow="0" w:firstColumn="0" w:lastColumn="0" w:noHBand="0" w:noVBand="0"/>
      </w:tblPr>
      <w:tblGrid>
        <w:gridCol w:w="2969"/>
        <w:gridCol w:w="3051"/>
        <w:gridCol w:w="2070"/>
        <w:gridCol w:w="1998"/>
      </w:tblGrid>
      <w:tr w:rsidR="0010414C">
        <w:trPr>
          <w:tblHeader/>
        </w:trPr>
        <w:tc>
          <w:tcPr>
            <w:tcW w:w="2969" w:type="dxa"/>
            <w:tcBorders>
              <w:top w:val="single" w:sz="8" w:space="0" w:color="00000A"/>
              <w:left w:val="single" w:sz="8" w:space="0" w:color="00000A"/>
              <w:bottom w:val="single" w:sz="12" w:space="0" w:color="00000A"/>
              <w:right w:val="single" w:sz="8" w:space="0" w:color="00000A"/>
            </w:tcBorders>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Domain</w:t>
            </w:r>
          </w:p>
        </w:tc>
        <w:tc>
          <w:tcPr>
            <w:tcW w:w="3051" w:type="dxa"/>
            <w:tcBorders>
              <w:top w:val="single" w:sz="8" w:space="0" w:color="00000A"/>
              <w:left w:val="single" w:sz="8" w:space="0" w:color="00000A"/>
              <w:bottom w:val="single" w:sz="12" w:space="0" w:color="00000A"/>
              <w:right w:val="single" w:sz="8" w:space="0" w:color="00000A"/>
            </w:tcBorders>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Domain Agent</w:t>
            </w:r>
          </w:p>
        </w:tc>
        <w:tc>
          <w:tcPr>
            <w:tcW w:w="2070" w:type="dxa"/>
            <w:tcBorders>
              <w:top w:val="single" w:sz="8" w:space="0" w:color="00000A"/>
              <w:left w:val="single" w:sz="8" w:space="0" w:color="00000A"/>
              <w:bottom w:val="single" w:sz="12" w:space="0" w:color="00000A"/>
              <w:right w:val="single" w:sz="8" w:space="0" w:color="00000A"/>
            </w:tcBorders>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Handle to Renew</w:t>
            </w:r>
          </w:p>
        </w:tc>
        <w:tc>
          <w:tcPr>
            <w:tcW w:w="1998" w:type="dxa"/>
            <w:tcBorders>
              <w:top w:val="single" w:sz="8" w:space="0" w:color="00000A"/>
              <w:left w:val="single" w:sz="8" w:space="0" w:color="00000A"/>
              <w:bottom w:val="single" w:sz="12" w:space="0" w:color="00000A"/>
              <w:right w:val="single" w:sz="8" w:space="0" w:color="00000A"/>
            </w:tcBorders>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Renewal Date</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WSFS.org</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2028-06-14</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Worldcon.org</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2028-08-02</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Hugo.org</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2028-08-31</w:t>
            </w:r>
          </w:p>
        </w:tc>
      </w:tr>
      <w:tr w:rsidR="0010414C">
        <w:trPr>
          <w:cantSplit/>
        </w:trPr>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HugoAward.org</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2033-05-03</w:t>
            </w:r>
          </w:p>
        </w:tc>
      </w:tr>
      <w:tr w:rsidR="0010414C">
        <w:trPr>
          <w:cantSplit/>
        </w:trPr>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Worldcon.com</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2028-10-09</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keepLines/>
              <w:spacing w:before="20" w:after="20"/>
              <w:rPr>
                <w:rFonts w:ascii="Arial" w:eastAsia="Arial" w:hAnsi="Arial" w:cs="Arial"/>
                <w:sz w:val="20"/>
                <w:szCs w:val="20"/>
              </w:rPr>
            </w:pPr>
            <w:r>
              <w:rPr>
                <w:rFonts w:ascii="Arial" w:eastAsia="Arial" w:hAnsi="Arial" w:cs="Arial"/>
                <w:sz w:val="20"/>
                <w:szCs w:val="20"/>
              </w:rPr>
              <w:t>Worldcon.co.uk</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2028-10-17</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Worldcon.org.uk</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2028-10-17</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Worldcon.uk</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2031-06-17</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NASFiC.org</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t xml:space="preserve"> Intellectual Property</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2029-05-09</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wsfs.us</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2028-06-20</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wsfs.info</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2027-07-25</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worldcon.us</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2028-08-12</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worldcon.info</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2027-07-05</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Pr="00050B5E" w:rsidRDefault="00050B5E">
            <w:pPr>
              <w:spacing w:before="20" w:after="20"/>
              <w:rPr>
                <w:rFonts w:ascii="Arial" w:eastAsia="Arial" w:hAnsi="Arial" w:cs="Arial"/>
                <w:sz w:val="20"/>
                <w:szCs w:val="20"/>
              </w:rPr>
            </w:pPr>
            <w:r w:rsidRPr="00050B5E">
              <w:rPr>
                <w:rFonts w:ascii="Arial" w:eastAsia="Arial" w:hAnsi="Arial" w:cs="Arial"/>
                <w:sz w:val="20"/>
                <w:szCs w:val="20"/>
              </w:rPr>
              <w:t>worldcons.org</w:t>
            </w:r>
          </w:p>
        </w:tc>
        <w:tc>
          <w:tcPr>
            <w:tcW w:w="3051" w:type="dxa"/>
            <w:tcBorders>
              <w:top w:val="single" w:sz="4" w:space="0" w:color="00000A"/>
              <w:left w:val="single" w:sz="4" w:space="0" w:color="00000A"/>
              <w:bottom w:val="single" w:sz="4" w:space="0" w:color="00000A"/>
              <w:right w:val="single" w:sz="4" w:space="0" w:color="00000A"/>
            </w:tcBorders>
          </w:tcPr>
          <w:p w:rsidR="0010414C" w:rsidRPr="00050B5E" w:rsidRDefault="00050B5E">
            <w:pPr>
              <w:spacing w:before="20" w:after="20"/>
              <w:rPr>
                <w:rFonts w:ascii="Arial" w:eastAsia="Arial" w:hAnsi="Arial" w:cs="Arial"/>
                <w:sz w:val="20"/>
                <w:szCs w:val="20"/>
              </w:rPr>
            </w:pPr>
            <w:r w:rsidRPr="00050B5E">
              <w:rPr>
                <w:rFonts w:ascii="Arial" w:eastAsia="Arial" w:hAnsi="Arial" w:cs="Arial"/>
                <w:sz w:val="20"/>
                <w:szCs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10414C" w:rsidRPr="00050B5E" w:rsidRDefault="00050B5E">
            <w:pPr>
              <w:spacing w:before="20" w:after="20"/>
              <w:rPr>
                <w:rFonts w:ascii="Arial" w:eastAsia="Arial" w:hAnsi="Arial" w:cs="Arial"/>
                <w:sz w:val="20"/>
                <w:szCs w:val="20"/>
              </w:rPr>
            </w:pPr>
            <w:r w:rsidRPr="00050B5E">
              <w:rPr>
                <w:rFonts w:ascii="Arial" w:eastAsia="Arial" w:hAnsi="Arial" w:cs="Arial"/>
                <w:sz w:val="20"/>
                <w:szCs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10414C" w:rsidRPr="00050B5E" w:rsidRDefault="00050B5E">
            <w:pPr>
              <w:spacing w:before="20" w:after="20"/>
              <w:rPr>
                <w:rFonts w:ascii="Arial" w:eastAsia="Arial" w:hAnsi="Arial" w:cs="Arial"/>
                <w:sz w:val="20"/>
                <w:szCs w:val="20"/>
              </w:rPr>
            </w:pPr>
            <w:r w:rsidRPr="00050B5E">
              <w:rPr>
                <w:rFonts w:ascii="Arial" w:eastAsia="Arial" w:hAnsi="Arial" w:cs="Arial"/>
                <w:sz w:val="20"/>
                <w:szCs w:val="20"/>
              </w:rPr>
              <w:t>2026-01-18</w:t>
            </w:r>
          </w:p>
        </w:tc>
      </w:tr>
      <w:tr w:rsidR="0010414C">
        <w:tc>
          <w:tcPr>
            <w:tcW w:w="2969"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worldcon.fr</w:t>
            </w:r>
          </w:p>
        </w:tc>
        <w:tc>
          <w:tcPr>
            <w:tcW w:w="3051"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Nicholas Whyte</w:t>
            </w:r>
          </w:p>
        </w:tc>
        <w:tc>
          <w:tcPr>
            <w:tcW w:w="2070"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GANDI.net</w:t>
            </w:r>
          </w:p>
        </w:tc>
        <w:tc>
          <w:tcPr>
            <w:tcW w:w="1998" w:type="dxa"/>
            <w:tcBorders>
              <w:top w:val="single" w:sz="4" w:space="0" w:color="00000A"/>
              <w:left w:val="single" w:sz="4" w:space="0" w:color="00000A"/>
              <w:bottom w:val="single" w:sz="4" w:space="0" w:color="00000A"/>
              <w:right w:val="single" w:sz="4" w:space="0" w:color="00000A"/>
            </w:tcBorders>
          </w:tcPr>
          <w:p w:rsidR="0010414C" w:rsidRDefault="00050B5E">
            <w:pPr>
              <w:spacing w:before="20" w:after="20"/>
              <w:rPr>
                <w:rFonts w:ascii="Arial" w:eastAsia="Arial" w:hAnsi="Arial" w:cs="Arial"/>
                <w:sz w:val="20"/>
                <w:szCs w:val="20"/>
              </w:rPr>
            </w:pPr>
            <w:r>
              <w:rPr>
                <w:rFonts w:ascii="Arial" w:eastAsia="Arial" w:hAnsi="Arial" w:cs="Arial"/>
                <w:sz w:val="20"/>
                <w:szCs w:val="20"/>
              </w:rPr>
              <w:t>2027-12-31</w:t>
            </w:r>
          </w:p>
        </w:tc>
      </w:tr>
    </w:tbl>
    <w:p w:rsidR="0010414C" w:rsidRDefault="00050B5E">
      <w:pPr>
        <w:spacing w:before="120"/>
        <w:rPr>
          <w:rFonts w:ascii="Calibri" w:eastAsia="Calibri" w:hAnsi="Calibri" w:cs="Calibri"/>
          <w:b/>
          <w:bCs/>
        </w:rPr>
      </w:pPr>
      <w:r>
        <w:rPr>
          <w:rFonts w:ascii="Calibri" w:eastAsia="Calibri" w:hAnsi="Calibri" w:cs="Calibri"/>
          <w:b/>
          <w:bCs/>
        </w:rPr>
        <w:t>U.S. Marks</w:t>
      </w:r>
    </w:p>
    <w:tbl>
      <w:tblPr>
        <w:tblStyle w:val="a0"/>
        <w:tblW w:w="854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Look w:val="0000" w:firstRow="0" w:lastRow="0" w:firstColumn="0" w:lastColumn="0" w:noHBand="0" w:noVBand="0"/>
      </w:tblPr>
      <w:tblGrid>
        <w:gridCol w:w="3500"/>
        <w:gridCol w:w="2430"/>
        <w:gridCol w:w="2610"/>
      </w:tblGrid>
      <w:tr w:rsidR="0010414C">
        <w:tc>
          <w:tcPr>
            <w:tcW w:w="350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Mark</w:t>
            </w:r>
          </w:p>
        </w:tc>
        <w:tc>
          <w:tcPr>
            <w:tcW w:w="243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Action</w:t>
            </w:r>
          </w:p>
        </w:tc>
        <w:tc>
          <w:tcPr>
            <w:tcW w:w="261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b/>
                <w:bCs/>
                <w:sz w:val="20"/>
                <w:szCs w:val="20"/>
              </w:rPr>
            </w:pPr>
            <w:r>
              <w:rPr>
                <w:rFonts w:ascii="Arial" w:eastAsia="Arial" w:hAnsi="Arial" w:cs="Arial"/>
                <w:b/>
                <w:bCs/>
                <w:sz w:val="20"/>
                <w:szCs w:val="20"/>
              </w:rPr>
              <w:t>Renewal Dates</w:t>
            </w:r>
          </w:p>
        </w:tc>
      </w:tr>
      <w:tr w:rsidR="0010414C">
        <w:tc>
          <w:tcPr>
            <w:tcW w:w="350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World Science Fiction Convention</w:t>
            </w:r>
            <w:r>
              <w:rPr>
                <w:rFonts w:ascii="Arial" w:eastAsia="Arial" w:hAnsi="Arial" w:cs="Arial"/>
                <w:sz w:val="20"/>
                <w:szCs w:val="20"/>
              </w:rPr>
              <w:br/>
              <w:t>Reg. No 1283681</w:t>
            </w:r>
          </w:p>
        </w:tc>
        <w:tc>
          <w:tcPr>
            <w:tcW w:w="243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6/26/2033-6/26/2034</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r>
              <w:rPr>
                <w:rFonts w:ascii="Arial" w:eastAsia="Arial" w:hAnsi="Arial" w:cs="Arial"/>
                <w:sz w:val="20"/>
                <w:szCs w:val="20"/>
              </w:rPr>
              <w:br/>
              <w:t>Reg. No. 1283680</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6/26/2033-6/26/2034</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World Science Fiction Society</w:t>
            </w:r>
            <w:r>
              <w:rPr>
                <w:rFonts w:ascii="Arial" w:eastAsia="Arial" w:hAnsi="Arial" w:cs="Arial"/>
                <w:sz w:val="20"/>
                <w:szCs w:val="20"/>
              </w:rPr>
              <w:br/>
              <w:t>Reg. No. 1284719</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7/3/2033-7/3/2034</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WSFS</w:t>
            </w:r>
            <w:r>
              <w:rPr>
                <w:rFonts w:ascii="Arial" w:eastAsia="Arial" w:hAnsi="Arial" w:cs="Arial"/>
                <w:sz w:val="20"/>
                <w:szCs w:val="20"/>
              </w:rPr>
              <w:br/>
              <w:t>Reg. No. 1286562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7/17/2033-7/17/2034</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The Hugo Award</w:t>
            </w:r>
            <w:r>
              <w:rPr>
                <w:rFonts w:ascii="Arial" w:eastAsia="Arial" w:hAnsi="Arial" w:cs="Arial"/>
                <w:sz w:val="20"/>
                <w:szCs w:val="20"/>
              </w:rPr>
              <w:br/>
              <w:t>  Reg. No. 1287322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7/24/2033-7/24/2034</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3D Rocket Mark</w:t>
            </w:r>
            <w:r>
              <w:rPr>
                <w:rFonts w:ascii="Arial" w:eastAsia="Arial" w:hAnsi="Arial" w:cs="Arial"/>
                <w:sz w:val="20"/>
                <w:szCs w:val="20"/>
              </w:rPr>
              <w:br/>
              <w:t>  Reg. No. 4620505</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10/14/2033-10/16/2033</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Rocket Mark</w:t>
            </w:r>
            <w:r>
              <w:rPr>
                <w:rFonts w:ascii="Arial" w:eastAsia="Arial" w:hAnsi="Arial" w:cs="Arial"/>
                <w:sz w:val="20"/>
                <w:szCs w:val="20"/>
              </w:rPr>
              <w:br/>
              <w:t>  Reg. No. 4320959</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4/16/2032-4/18/2033</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proofErr w:type="spellStart"/>
            <w:r>
              <w:rPr>
                <w:rFonts w:ascii="Arial" w:eastAsia="Arial" w:hAnsi="Arial" w:cs="Arial"/>
                <w:sz w:val="20"/>
                <w:szCs w:val="20"/>
              </w:rPr>
              <w:t>NASFiC</w:t>
            </w:r>
            <w:proofErr w:type="spellEnd"/>
            <w:r>
              <w:rPr>
                <w:rFonts w:ascii="Arial" w:eastAsia="Arial" w:hAnsi="Arial" w:cs="Arial"/>
                <w:sz w:val="20"/>
                <w:szCs w:val="20"/>
              </w:rPr>
              <w:br/>
              <w:t>  Reg. No. 3647140</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6/30/2028-6/29/2029</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Lodestar Award</w:t>
            </w:r>
            <w:r>
              <w:rPr>
                <w:rFonts w:ascii="Arial" w:eastAsia="Arial" w:hAnsi="Arial" w:cs="Arial"/>
                <w:sz w:val="20"/>
                <w:szCs w:val="20"/>
              </w:rPr>
              <w:br/>
              <w:t>  Reg. No. 7246730</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9</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12/19/2028-12/19/2029</w:t>
            </w:r>
          </w:p>
        </w:tc>
      </w:tr>
      <w:tr w:rsidR="0010414C">
        <w:tc>
          <w:tcPr>
            <w:tcW w:w="35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Rocket Mark</w:t>
            </w:r>
            <w:r>
              <w:rPr>
                <w:rFonts w:ascii="Arial" w:eastAsia="Arial" w:hAnsi="Arial" w:cs="Arial"/>
                <w:sz w:val="20"/>
                <w:szCs w:val="20"/>
              </w:rPr>
              <w:br/>
              <w:t>(Miscellaneous Design)</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Section 8, Section 15</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4/16/2028-4/15/2029</w:t>
            </w:r>
          </w:p>
        </w:tc>
      </w:tr>
    </w:tbl>
    <w:p w:rsidR="0010414C" w:rsidRDefault="00050B5E">
      <w:pPr>
        <w:keepNext/>
        <w:spacing w:before="120"/>
        <w:rPr>
          <w:rFonts w:ascii="Calibri" w:eastAsia="Calibri" w:hAnsi="Calibri" w:cs="Calibri"/>
          <w:b/>
          <w:bCs/>
        </w:rPr>
      </w:pPr>
      <w:r>
        <w:rPr>
          <w:rFonts w:ascii="Calibri" w:eastAsia="Calibri" w:hAnsi="Calibri" w:cs="Calibri"/>
          <w:b/>
          <w:bCs/>
        </w:rPr>
        <w:t>UK Marks</w:t>
      </w:r>
    </w:p>
    <w:tbl>
      <w:tblPr>
        <w:tblStyle w:val="a1"/>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Look w:val="0000" w:firstRow="0" w:lastRow="0" w:firstColumn="0" w:lastColumn="0" w:noHBand="0" w:noVBand="0"/>
      </w:tblPr>
      <w:tblGrid>
        <w:gridCol w:w="2240"/>
        <w:gridCol w:w="1800"/>
        <w:gridCol w:w="1575"/>
        <w:gridCol w:w="1863"/>
      </w:tblGrid>
      <w:tr w:rsidR="0010414C">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Expiry Dates</w:t>
            </w:r>
          </w:p>
        </w:tc>
        <w:tc>
          <w:tcPr>
            <w:tcW w:w="1863" w:type="dxa"/>
            <w:tcBorders>
              <w:top w:val="single" w:sz="4" w:space="0" w:color="00000A"/>
              <w:left w:val="single" w:sz="4" w:space="0" w:color="00000A"/>
              <w:bottom w:val="single" w:sz="4" w:space="0" w:color="00000A"/>
              <w:right w:val="single" w:sz="4" w:space="0" w:color="00000A"/>
            </w:tcBorders>
          </w:tcPr>
          <w:p w:rsidR="0010414C" w:rsidRDefault="00050B5E">
            <w:pPr>
              <w:keepNext/>
              <w:spacing w:before="20" w:after="20"/>
              <w:rPr>
                <w:rFonts w:ascii="Arial" w:eastAsia="Arial" w:hAnsi="Arial" w:cs="Arial"/>
                <w:b/>
                <w:bCs/>
                <w:sz w:val="20"/>
                <w:szCs w:val="20"/>
              </w:rPr>
            </w:pPr>
            <w:r>
              <w:rPr>
                <w:rFonts w:ascii="Arial" w:eastAsia="Arial" w:hAnsi="Arial" w:cs="Arial"/>
                <w:b/>
                <w:bCs/>
                <w:sz w:val="20"/>
                <w:szCs w:val="20"/>
              </w:rPr>
              <w:t>Trademark No.</w:t>
            </w:r>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sz w:val="20"/>
                <w:szCs w:val="20"/>
                <w:highlight w:val="white"/>
              </w:rPr>
              <w:t>Class 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sz w:val="20"/>
                <w:szCs w:val="20"/>
              </w:rPr>
              <w:t>2035/06/17</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keepNext/>
              <w:spacing w:before="20" w:after="20"/>
              <w:rPr>
                <w:rFonts w:ascii="Arial" w:eastAsia="Arial" w:hAnsi="Arial" w:cs="Arial"/>
                <w:color w:val="0000FF"/>
                <w:sz w:val="20"/>
                <w:szCs w:val="20"/>
              </w:rPr>
            </w:pPr>
            <w:hyperlink r:id="rId5" w:anchor="details/trademarks/014277016">
              <w:r w:rsidR="00050B5E">
                <w:rPr>
                  <w:rFonts w:ascii="Arial" w:eastAsia="Arial" w:hAnsi="Arial" w:cs="Arial"/>
                  <w:color w:val="0000FF"/>
                  <w:sz w:val="20"/>
                  <w:szCs w:val="20"/>
                  <w:highlight w:val="white"/>
                  <w:u w:val="single"/>
                </w:rPr>
                <w:t>014277016</w:t>
              </w:r>
            </w:hyperlink>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Hugo Award</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highlight w:val="white"/>
              </w:rPr>
              <w:t xml:space="preserve">Class </w:t>
            </w:r>
            <w:r>
              <w:rPr>
                <w:rFonts w:ascii="Arial" w:eastAsia="Arial" w:hAnsi="Arial" w:cs="Arial"/>
                <w:sz w:val="20"/>
                <w:szCs w:val="20"/>
              </w:rPr>
              <w:t>9, 16, 41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2035/06/18</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spacing w:before="20" w:after="20"/>
              <w:rPr>
                <w:rFonts w:ascii="Arial" w:eastAsia="Arial" w:hAnsi="Arial" w:cs="Arial"/>
                <w:color w:val="0000FF"/>
                <w:sz w:val="20"/>
                <w:szCs w:val="20"/>
              </w:rPr>
            </w:pPr>
            <w:hyperlink r:id="rId6" w:anchor="details/trademarks/014278519">
              <w:r w:rsidR="00050B5E">
                <w:rPr>
                  <w:rFonts w:ascii="Arial" w:eastAsia="Arial" w:hAnsi="Arial" w:cs="Arial"/>
                  <w:color w:val="0000FF"/>
                  <w:sz w:val="20"/>
                  <w:szCs w:val="20"/>
                  <w:highlight w:val="white"/>
                  <w:u w:val="single"/>
                </w:rPr>
                <w:t>014278519</w:t>
              </w:r>
            </w:hyperlink>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The Hugo Award Logo</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highlight w:val="white"/>
              </w:rPr>
              <w:t xml:space="preserve">Class </w:t>
            </w:r>
            <w:r>
              <w:rPr>
                <w:rFonts w:ascii="Arial" w:eastAsia="Arial" w:hAnsi="Arial" w:cs="Arial"/>
                <w:sz w:val="20"/>
                <w:szCs w:val="20"/>
              </w:rPr>
              <w:t>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2035/06/21</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spacing w:before="20" w:after="20"/>
              <w:rPr>
                <w:rFonts w:ascii="Arial" w:eastAsia="Arial" w:hAnsi="Arial" w:cs="Arial"/>
                <w:color w:val="0000FF"/>
                <w:sz w:val="20"/>
                <w:szCs w:val="20"/>
              </w:rPr>
            </w:pPr>
            <w:hyperlink r:id="rId7" w:anchor="details/trademarks/014270748">
              <w:r w:rsidR="00050B5E">
                <w:rPr>
                  <w:rFonts w:ascii="Arial" w:eastAsia="Arial" w:hAnsi="Arial" w:cs="Arial"/>
                  <w:color w:val="0000FF"/>
                  <w:sz w:val="20"/>
                  <w:szCs w:val="20"/>
                  <w:u w:val="single"/>
                </w:rPr>
                <w:t>014270748</w:t>
              </w:r>
            </w:hyperlink>
          </w:p>
        </w:tc>
      </w:tr>
    </w:tbl>
    <w:p w:rsidR="0010414C" w:rsidRDefault="00050B5E">
      <w:pPr>
        <w:keepNext/>
        <w:spacing w:before="120"/>
        <w:rPr>
          <w:rFonts w:ascii="Calibri" w:eastAsia="Calibri" w:hAnsi="Calibri" w:cs="Calibri"/>
          <w:b/>
          <w:bCs/>
        </w:rPr>
      </w:pPr>
      <w:r>
        <w:rPr>
          <w:rFonts w:ascii="Calibri" w:eastAsia="Calibri" w:hAnsi="Calibri" w:cs="Calibri"/>
          <w:b/>
          <w:bCs/>
        </w:rPr>
        <w:lastRenderedPageBreak/>
        <w:t>EU Marks</w:t>
      </w:r>
    </w:p>
    <w:tbl>
      <w:tblPr>
        <w:tblStyle w:val="a2"/>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Look w:val="0000" w:firstRow="0" w:lastRow="0" w:firstColumn="0" w:lastColumn="0" w:noHBand="0" w:noVBand="0"/>
      </w:tblPr>
      <w:tblGrid>
        <w:gridCol w:w="2240"/>
        <w:gridCol w:w="1800"/>
        <w:gridCol w:w="1575"/>
        <w:gridCol w:w="1863"/>
      </w:tblGrid>
      <w:tr w:rsidR="0010414C">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Expiry Dates</w:t>
            </w:r>
          </w:p>
        </w:tc>
        <w:tc>
          <w:tcPr>
            <w:tcW w:w="1863" w:type="dxa"/>
            <w:tcBorders>
              <w:top w:val="single" w:sz="4" w:space="0" w:color="00000A"/>
              <w:left w:val="single" w:sz="4" w:space="0" w:color="00000A"/>
              <w:bottom w:val="single" w:sz="4" w:space="0" w:color="00000A"/>
              <w:right w:val="single" w:sz="4" w:space="0" w:color="00000A"/>
            </w:tcBorders>
          </w:tcPr>
          <w:p w:rsidR="0010414C" w:rsidRDefault="00050B5E">
            <w:pPr>
              <w:keepNext/>
              <w:spacing w:before="20" w:after="20"/>
              <w:rPr>
                <w:rFonts w:ascii="Arial" w:eastAsia="Arial" w:hAnsi="Arial" w:cs="Arial"/>
                <w:b/>
                <w:bCs/>
                <w:sz w:val="20"/>
                <w:szCs w:val="20"/>
              </w:rPr>
            </w:pPr>
            <w:r>
              <w:rPr>
                <w:rFonts w:ascii="Arial" w:eastAsia="Arial" w:hAnsi="Arial" w:cs="Arial"/>
                <w:b/>
                <w:bCs/>
                <w:sz w:val="20"/>
                <w:szCs w:val="20"/>
              </w:rPr>
              <w:t>Trademark No.</w:t>
            </w:r>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proofErr w:type="spellStart"/>
            <w:r>
              <w:rPr>
                <w:rFonts w:ascii="Arial" w:eastAsia="Arial" w:hAnsi="Arial" w:cs="Arial"/>
                <w:sz w:val="20"/>
                <w:szCs w:val="20"/>
              </w:rPr>
              <w:t>Worldcon</w:t>
            </w:r>
            <w:proofErr w:type="spellEnd"/>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sz w:val="20"/>
                <w:szCs w:val="20"/>
                <w:highlight w:val="white"/>
              </w:rPr>
              <w:t>Class 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sz w:val="20"/>
                <w:szCs w:val="20"/>
              </w:rPr>
              <w:t>2035/06/18</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keepNext/>
              <w:spacing w:before="20" w:after="20"/>
              <w:rPr>
                <w:rFonts w:ascii="Arial" w:eastAsia="Arial" w:hAnsi="Arial" w:cs="Arial"/>
                <w:color w:val="0000FF"/>
                <w:sz w:val="20"/>
                <w:szCs w:val="20"/>
              </w:rPr>
            </w:pPr>
            <w:hyperlink r:id="rId8" w:anchor="details/trademarks/014277016">
              <w:r w:rsidR="00050B5E">
                <w:rPr>
                  <w:rFonts w:ascii="Arial" w:eastAsia="Arial" w:hAnsi="Arial" w:cs="Arial"/>
                  <w:color w:val="0000FF"/>
                  <w:sz w:val="20"/>
                  <w:szCs w:val="20"/>
                  <w:highlight w:val="white"/>
                  <w:u w:val="single"/>
                </w:rPr>
                <w:t>014277016</w:t>
              </w:r>
            </w:hyperlink>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Hugo Award</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highlight w:val="white"/>
              </w:rPr>
              <w:t xml:space="preserve">Class </w:t>
            </w:r>
            <w:r>
              <w:rPr>
                <w:rFonts w:ascii="Arial" w:eastAsia="Arial" w:hAnsi="Arial" w:cs="Arial"/>
                <w:sz w:val="20"/>
                <w:szCs w:val="20"/>
              </w:rPr>
              <w:t>9, 16, 41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2035/06/18</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spacing w:before="20" w:after="20"/>
              <w:rPr>
                <w:rFonts w:ascii="Arial" w:eastAsia="Arial" w:hAnsi="Arial" w:cs="Arial"/>
                <w:color w:val="0000FF"/>
                <w:sz w:val="20"/>
                <w:szCs w:val="20"/>
              </w:rPr>
            </w:pPr>
            <w:hyperlink r:id="rId9" w:anchor="details/trademarks/014278519">
              <w:r w:rsidR="00050B5E">
                <w:rPr>
                  <w:rFonts w:ascii="Arial" w:eastAsia="Arial" w:hAnsi="Arial" w:cs="Arial"/>
                  <w:color w:val="0000FF"/>
                  <w:sz w:val="20"/>
                  <w:szCs w:val="20"/>
                  <w:highlight w:val="white"/>
                  <w:u w:val="single"/>
                </w:rPr>
                <w:t>014278519</w:t>
              </w:r>
            </w:hyperlink>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The Hugo Award Logo</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highlight w:val="white"/>
              </w:rPr>
              <w:t xml:space="preserve">Class </w:t>
            </w:r>
            <w:r>
              <w:rPr>
                <w:rFonts w:ascii="Arial" w:eastAsia="Arial" w:hAnsi="Arial" w:cs="Arial"/>
                <w:sz w:val="20"/>
                <w:szCs w:val="20"/>
              </w:rPr>
              <w:t>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spacing w:before="20" w:after="20"/>
              <w:rPr>
                <w:rFonts w:ascii="Arial" w:eastAsia="Arial" w:hAnsi="Arial" w:cs="Arial"/>
                <w:sz w:val="20"/>
                <w:szCs w:val="20"/>
              </w:rPr>
            </w:pPr>
            <w:r>
              <w:rPr>
                <w:rFonts w:ascii="Arial" w:eastAsia="Arial" w:hAnsi="Arial" w:cs="Arial"/>
                <w:sz w:val="20"/>
                <w:szCs w:val="20"/>
              </w:rPr>
              <w:t>2035/06/22</w:t>
            </w:r>
          </w:p>
        </w:tc>
        <w:tc>
          <w:tcPr>
            <w:tcW w:w="1863" w:type="dxa"/>
            <w:tcBorders>
              <w:top w:val="single" w:sz="4" w:space="0" w:color="00000A"/>
              <w:left w:val="single" w:sz="4" w:space="0" w:color="00000A"/>
              <w:bottom w:val="single" w:sz="4" w:space="0" w:color="00000A"/>
              <w:right w:val="single" w:sz="4" w:space="0" w:color="00000A"/>
            </w:tcBorders>
          </w:tcPr>
          <w:p w:rsidR="0010414C" w:rsidRDefault="00B71DE8">
            <w:pPr>
              <w:spacing w:before="20" w:after="20"/>
              <w:rPr>
                <w:rFonts w:ascii="Arial" w:eastAsia="Arial" w:hAnsi="Arial" w:cs="Arial"/>
                <w:color w:val="0000FF"/>
                <w:sz w:val="20"/>
                <w:szCs w:val="20"/>
              </w:rPr>
            </w:pPr>
            <w:hyperlink r:id="rId10" w:anchor="details/trademarks/014270748">
              <w:r w:rsidR="00050B5E">
                <w:rPr>
                  <w:rFonts w:ascii="Arial" w:eastAsia="Arial" w:hAnsi="Arial" w:cs="Arial"/>
                  <w:color w:val="0000FF"/>
                  <w:sz w:val="20"/>
                  <w:szCs w:val="20"/>
                  <w:u w:val="single"/>
                </w:rPr>
                <w:t>014270748</w:t>
              </w:r>
            </w:hyperlink>
          </w:p>
        </w:tc>
      </w:tr>
    </w:tbl>
    <w:p w:rsidR="0010414C" w:rsidRDefault="00050B5E">
      <w:pPr>
        <w:keepNext/>
        <w:spacing w:before="120"/>
        <w:rPr>
          <w:rFonts w:ascii="Calibri" w:eastAsia="Calibri" w:hAnsi="Calibri" w:cs="Calibri"/>
          <w:b/>
          <w:bCs/>
        </w:rPr>
      </w:pPr>
      <w:r>
        <w:rPr>
          <w:rFonts w:ascii="Calibri" w:eastAsia="Calibri" w:hAnsi="Calibri" w:cs="Calibri"/>
          <w:b/>
          <w:bCs/>
        </w:rPr>
        <w:t>Australian Marks</w:t>
      </w:r>
    </w:p>
    <w:tbl>
      <w:tblPr>
        <w:tblStyle w:val="a3"/>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Look w:val="0000" w:firstRow="0" w:lastRow="0" w:firstColumn="0" w:lastColumn="0" w:noHBand="0" w:noVBand="0"/>
      </w:tblPr>
      <w:tblGrid>
        <w:gridCol w:w="2240"/>
        <w:gridCol w:w="1800"/>
        <w:gridCol w:w="1575"/>
        <w:gridCol w:w="1863"/>
      </w:tblGrid>
      <w:tr w:rsidR="0010414C">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b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b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Default="00050B5E">
            <w:pPr>
              <w:keepNext/>
              <w:spacing w:before="20" w:after="20"/>
              <w:rPr>
                <w:rFonts w:ascii="Arial" w:eastAsia="Arial" w:hAnsi="Arial" w:cs="Arial"/>
                <w:sz w:val="20"/>
                <w:szCs w:val="20"/>
              </w:rPr>
            </w:pPr>
            <w:r>
              <w:rPr>
                <w:rFonts w:ascii="Arial" w:eastAsia="Arial" w:hAnsi="Arial" w:cs="Arial"/>
                <w:b/>
                <w:bCs/>
                <w:sz w:val="20"/>
                <w:szCs w:val="20"/>
              </w:rPr>
              <w:t>Acceptance After</w:t>
            </w:r>
          </w:p>
        </w:tc>
        <w:tc>
          <w:tcPr>
            <w:tcW w:w="1863" w:type="dxa"/>
            <w:tcBorders>
              <w:top w:val="single" w:sz="4" w:space="0" w:color="00000A"/>
              <w:left w:val="single" w:sz="4" w:space="0" w:color="00000A"/>
              <w:bottom w:val="single" w:sz="4" w:space="0" w:color="00000A"/>
              <w:right w:val="single" w:sz="4" w:space="0" w:color="00000A"/>
            </w:tcBorders>
          </w:tcPr>
          <w:p w:rsidR="0010414C" w:rsidRDefault="00050B5E">
            <w:pPr>
              <w:keepNext/>
              <w:spacing w:before="20" w:after="20"/>
              <w:rPr>
                <w:rFonts w:ascii="Arial" w:eastAsia="Arial" w:hAnsi="Arial" w:cs="Arial"/>
                <w:b/>
                <w:bCs/>
                <w:sz w:val="20"/>
                <w:szCs w:val="20"/>
              </w:rPr>
            </w:pPr>
            <w:r>
              <w:rPr>
                <w:rFonts w:ascii="Arial" w:eastAsia="Arial" w:hAnsi="Arial" w:cs="Arial"/>
                <w:b/>
                <w:bCs/>
                <w:sz w:val="20"/>
                <w:szCs w:val="20"/>
              </w:rPr>
              <w:br/>
              <w:t>Trademark No.</w:t>
            </w:r>
          </w:p>
        </w:tc>
      </w:tr>
      <w:tr w:rsidR="0010414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Pr="004B08C6" w:rsidRDefault="00050B5E">
            <w:pPr>
              <w:keepNext/>
              <w:spacing w:before="20" w:after="20"/>
              <w:rPr>
                <w:rFonts w:ascii="Arial" w:eastAsia="Arial" w:hAnsi="Arial" w:cs="Arial"/>
                <w:sz w:val="20"/>
                <w:szCs w:val="20"/>
              </w:rPr>
            </w:pPr>
            <w:proofErr w:type="spellStart"/>
            <w:r w:rsidRPr="004B08C6">
              <w:rPr>
                <w:rFonts w:ascii="Arial" w:eastAsia="Arial" w:hAnsi="Arial" w:cs="Arial"/>
                <w:sz w:val="20"/>
                <w:szCs w:val="20"/>
              </w:rPr>
              <w:t>Worldcon</w:t>
            </w:r>
            <w:proofErr w:type="spellEnd"/>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Pr="004B08C6" w:rsidRDefault="00050B5E">
            <w:pPr>
              <w:keepNext/>
              <w:spacing w:before="20" w:after="20"/>
              <w:rPr>
                <w:rFonts w:ascii="Arial" w:eastAsia="Arial" w:hAnsi="Arial" w:cs="Arial"/>
                <w:sz w:val="20"/>
                <w:szCs w:val="20"/>
              </w:rPr>
            </w:pPr>
            <w:r w:rsidRPr="004B08C6">
              <w:rPr>
                <w:rFonts w:ascii="Arial" w:eastAsia="Arial" w:hAnsi="Arial" w:cs="Arial"/>
                <w:sz w:val="20"/>
                <w:szCs w:val="20"/>
              </w:rPr>
              <w:t>Class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10414C" w:rsidRPr="004B08C6" w:rsidRDefault="00050B5E">
            <w:pPr>
              <w:keepNext/>
              <w:spacing w:before="20" w:after="20"/>
              <w:rPr>
                <w:rFonts w:ascii="Arial" w:eastAsia="Arial" w:hAnsi="Arial" w:cs="Arial"/>
                <w:sz w:val="20"/>
                <w:szCs w:val="20"/>
              </w:rPr>
            </w:pPr>
            <w:r w:rsidRPr="004B08C6">
              <w:rPr>
                <w:rFonts w:ascii="Arial" w:eastAsia="Arial" w:hAnsi="Arial" w:cs="Arial"/>
                <w:sz w:val="20"/>
                <w:szCs w:val="20"/>
              </w:rPr>
              <w:t>2025/09/15</w:t>
            </w:r>
          </w:p>
        </w:tc>
        <w:tc>
          <w:tcPr>
            <w:tcW w:w="1863" w:type="dxa"/>
            <w:tcBorders>
              <w:top w:val="single" w:sz="4" w:space="0" w:color="00000A"/>
              <w:left w:val="single" w:sz="4" w:space="0" w:color="00000A"/>
              <w:bottom w:val="single" w:sz="4" w:space="0" w:color="00000A"/>
              <w:right w:val="single" w:sz="4" w:space="0" w:color="00000A"/>
            </w:tcBorders>
          </w:tcPr>
          <w:p w:rsidR="0010414C" w:rsidRPr="004B08C6" w:rsidRDefault="00B71DE8">
            <w:pPr>
              <w:keepNext/>
              <w:spacing w:before="20" w:after="20"/>
              <w:rPr>
                <w:rFonts w:ascii="Arial" w:eastAsia="Arial" w:hAnsi="Arial" w:cs="Arial"/>
                <w:color w:val="0000FF"/>
                <w:sz w:val="20"/>
                <w:szCs w:val="20"/>
              </w:rPr>
            </w:pPr>
            <w:hyperlink r:id="rId11" w:anchor="details/trademarks/014277016">
              <w:r w:rsidR="00050B5E" w:rsidRPr="004B08C6">
                <w:rPr>
                  <w:rFonts w:ascii="Arial" w:eastAsia="Arial" w:hAnsi="Arial" w:cs="Arial"/>
                  <w:color w:val="0000FF"/>
                  <w:sz w:val="20"/>
                  <w:szCs w:val="20"/>
                  <w:u w:val="single"/>
                </w:rPr>
                <w:t>014277016</w:t>
              </w:r>
            </w:hyperlink>
          </w:p>
        </w:tc>
      </w:tr>
    </w:tbl>
    <w:p w:rsidR="0010414C" w:rsidRDefault="0010414C">
      <w:pPr>
        <w:spacing w:after="240"/>
        <w:sectPr w:rsidR="0010414C">
          <w:pgSz w:w="12240" w:h="15840"/>
          <w:pgMar w:top="1440" w:right="1440" w:bottom="1440" w:left="1440" w:header="720" w:footer="720" w:gutter="0"/>
          <w:cols w:space="720"/>
        </w:sectPr>
      </w:pPr>
    </w:p>
    <w:p w:rsidR="0010414C" w:rsidRDefault="00050B5E">
      <w:pPr>
        <w:spacing w:after="240"/>
        <w:jc w:val="center"/>
        <w:rPr>
          <w:b/>
          <w:bCs/>
        </w:rPr>
      </w:pPr>
      <w:r>
        <w:rPr>
          <w:b/>
          <w:bCs/>
        </w:rPr>
        <w:lastRenderedPageBreak/>
        <w:t>Mark Protection Committee/WIP Financial Report</w:t>
      </w:r>
      <w:r>
        <w:rPr>
          <w:b/>
          <w:bCs/>
        </w:rPr>
        <w:br/>
        <w:t>All U.S. Dollars</w:t>
      </w:r>
      <w:r>
        <w:rPr>
          <w:b/>
          <w:bCs/>
        </w:rPr>
        <w:br/>
        <w:t>Period Ending April 30, 2026</w:t>
      </w:r>
    </w:p>
    <w:tbl>
      <w:tblPr>
        <w:tblStyle w:val="a4"/>
        <w:tblW w:w="9920" w:type="dxa"/>
        <w:tblInd w:w="-15"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3224"/>
        <w:gridCol w:w="916"/>
        <w:gridCol w:w="1530"/>
        <w:gridCol w:w="1563"/>
        <w:gridCol w:w="1255"/>
        <w:gridCol w:w="1432"/>
      </w:tblGrid>
      <w:tr w:rsidR="0010414C">
        <w:trPr>
          <w:tblHeader/>
        </w:trPr>
        <w:tc>
          <w:tcPr>
            <w:tcW w:w="3224" w:type="dxa"/>
          </w:tcPr>
          <w:p w:rsidR="0010414C" w:rsidRDefault="0010414C">
            <w:pPr>
              <w:spacing w:before="40" w:after="40"/>
              <w:rPr>
                <w:rFonts w:ascii="Calibri" w:eastAsia="Calibri" w:hAnsi="Calibri" w:cs="Calibri"/>
                <w:color w:val="000000"/>
              </w:rPr>
            </w:pPr>
          </w:p>
        </w:tc>
        <w:tc>
          <w:tcPr>
            <w:tcW w:w="916" w:type="dxa"/>
          </w:tcPr>
          <w:p w:rsidR="0010414C" w:rsidRDefault="00050B5E">
            <w:pPr>
              <w:spacing w:before="40" w:after="40"/>
              <w:jc w:val="center"/>
              <w:rPr>
                <w:rFonts w:ascii="Calibri" w:eastAsia="Calibri" w:hAnsi="Calibri" w:cs="Calibri"/>
                <w:b/>
                <w:bCs/>
                <w:color w:val="000000"/>
              </w:rPr>
            </w:pPr>
            <w:r>
              <w:rPr>
                <w:rFonts w:ascii="Calibri" w:eastAsia="Calibri" w:hAnsi="Calibri" w:cs="Calibri"/>
                <w:b/>
                <w:bCs/>
                <w:color w:val="000000"/>
              </w:rPr>
              <w:t>Check No.</w:t>
            </w:r>
          </w:p>
        </w:tc>
        <w:tc>
          <w:tcPr>
            <w:tcW w:w="1530" w:type="dxa"/>
          </w:tcPr>
          <w:p w:rsidR="0010414C" w:rsidRDefault="00050B5E">
            <w:pPr>
              <w:spacing w:before="40" w:after="40"/>
              <w:jc w:val="center"/>
              <w:rPr>
                <w:rFonts w:ascii="Calibri" w:eastAsia="Calibri" w:hAnsi="Calibri" w:cs="Calibri"/>
                <w:color w:val="000000"/>
              </w:rPr>
            </w:pPr>
            <w:r>
              <w:rPr>
                <w:rFonts w:ascii="Calibri" w:eastAsia="Calibri" w:hAnsi="Calibri" w:cs="Calibri"/>
                <w:b/>
                <w:bCs/>
                <w:color w:val="000000"/>
              </w:rPr>
              <w:t>Date</w:t>
            </w:r>
          </w:p>
        </w:tc>
        <w:tc>
          <w:tcPr>
            <w:tcW w:w="1563" w:type="dxa"/>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b/>
                <w:bCs/>
                <w:color w:val="000000"/>
              </w:rPr>
              <w:t>Deposits</w:t>
            </w:r>
          </w:p>
        </w:tc>
        <w:tc>
          <w:tcPr>
            <w:tcW w:w="1255" w:type="dxa"/>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b/>
                <w:bCs/>
                <w:color w:val="000000"/>
              </w:rPr>
              <w:t>Payments</w:t>
            </w:r>
          </w:p>
        </w:tc>
        <w:tc>
          <w:tcPr>
            <w:tcW w:w="1432" w:type="dxa"/>
          </w:tcPr>
          <w:p w:rsidR="0010414C" w:rsidRDefault="00050B5E">
            <w:pPr>
              <w:spacing w:before="40" w:after="40"/>
              <w:jc w:val="center"/>
              <w:rPr>
                <w:rFonts w:ascii="Calibri" w:eastAsia="Calibri" w:hAnsi="Calibri" w:cs="Calibri"/>
                <w:color w:val="000000"/>
              </w:rPr>
            </w:pPr>
            <w:r>
              <w:rPr>
                <w:rFonts w:ascii="Calibri" w:eastAsia="Calibri" w:hAnsi="Calibri" w:cs="Calibri"/>
                <w:b/>
                <w:bCs/>
                <w:color w:val="000000"/>
              </w:rPr>
              <w:t>Account</w:t>
            </w:r>
            <w:r>
              <w:rPr>
                <w:rFonts w:ascii="Calibri" w:eastAsia="Calibri" w:hAnsi="Calibri" w:cs="Calibri"/>
                <w:b/>
                <w:bCs/>
                <w:color w:val="000000"/>
              </w:rPr>
              <w:br/>
              <w:t>Balance</w:t>
            </w:r>
          </w:p>
        </w:tc>
      </w:tr>
      <w:tr w:rsidR="0010414C">
        <w:tc>
          <w:tcPr>
            <w:tcW w:w="3224" w:type="dxa"/>
            <w:vAlign w:val="bottom"/>
          </w:tcPr>
          <w:p w:rsidR="0010414C" w:rsidRDefault="00050B5E">
            <w:pPr>
              <w:spacing w:before="40" w:after="40"/>
              <w:rPr>
                <w:rFonts w:ascii="Calibri" w:eastAsia="Calibri" w:hAnsi="Calibri" w:cs="Calibri"/>
                <w:b/>
                <w:bCs/>
                <w:color w:val="000000"/>
              </w:rPr>
            </w:pPr>
            <w:r>
              <w:rPr>
                <w:rFonts w:ascii="Calibri" w:eastAsia="Calibri" w:hAnsi="Calibri" w:cs="Calibri"/>
                <w:b/>
                <w:bCs/>
                <w:color w:val="000000"/>
              </w:rPr>
              <w:t>Book Balance June 1, 2025</w:t>
            </w:r>
          </w:p>
        </w:tc>
        <w:tc>
          <w:tcPr>
            <w:tcW w:w="916" w:type="dxa"/>
          </w:tcPr>
          <w:p w:rsidR="0010414C" w:rsidRDefault="0010414C">
            <w:pPr>
              <w:spacing w:before="40" w:after="40"/>
              <w:rPr>
                <w:rFonts w:ascii="Calibri" w:eastAsia="Calibri" w:hAnsi="Calibri" w:cs="Calibri"/>
                <w:color w:val="000000"/>
              </w:rPr>
            </w:pPr>
          </w:p>
        </w:tc>
        <w:tc>
          <w:tcPr>
            <w:tcW w:w="1530" w:type="dxa"/>
            <w:vAlign w:val="bottom"/>
          </w:tcPr>
          <w:p w:rsidR="0010414C" w:rsidRDefault="0010414C">
            <w:pPr>
              <w:spacing w:before="40" w:after="40"/>
              <w:rPr>
                <w:rFonts w:ascii="Calibri" w:eastAsia="Calibri" w:hAnsi="Calibri" w:cs="Calibri"/>
                <w:color w:val="000000"/>
              </w:rPr>
            </w:pP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b/>
                <w:bCs/>
                <w:color w:val="000000"/>
              </w:rPr>
              <w:t>$21,314.32</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5/31/2025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$1.51</w:t>
            </w: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$21,315.83</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5/15/2025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$21,220.88</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Foot Anstey LLP EU/GB Trademarks (incl$45 Wire Fee)</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6/27/2025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$94.95</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$16,120.11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6/30/2025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$45.20</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$5,100.77</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$16,165.31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6/2/2025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$16,133.75</w:t>
            </w:r>
          </w:p>
        </w:tc>
      </w:tr>
      <w:tr w:rsidR="0010414C">
        <w:tc>
          <w:tcPr>
            <w:tcW w:w="3224" w:type="dxa"/>
            <w:vAlign w:val="bottom"/>
          </w:tcPr>
          <w:p w:rsidR="0010414C" w:rsidRDefault="00050B5E">
            <w:pPr>
              <w:spacing w:before="40" w:after="40"/>
              <w:rPr>
                <w:rFonts w:ascii="Calibri" w:eastAsia="Calibri" w:hAnsi="Calibri" w:cs="Calibri"/>
                <w:color w:val="000000"/>
              </w:rPr>
            </w:pPr>
            <w:proofErr w:type="spellStart"/>
            <w:r>
              <w:rPr>
                <w:rFonts w:ascii="Calibri" w:eastAsia="Calibri" w:hAnsi="Calibri" w:cs="Calibri"/>
                <w:color w:val="000000"/>
                <w:sz w:val="22"/>
                <w:szCs w:val="22"/>
              </w:rPr>
              <w:t>Vistaprint</w:t>
            </w:r>
            <w:proofErr w:type="spellEnd"/>
            <w:r>
              <w:rPr>
                <w:rFonts w:ascii="Calibri" w:eastAsia="Calibri" w:hAnsi="Calibri" w:cs="Calibri"/>
                <w:color w:val="000000"/>
                <w:sz w:val="22"/>
                <w:szCs w:val="22"/>
              </w:rPr>
              <w:t xml:space="preserve"> (checks)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6/2/2025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$31.56</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$16,105.19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 xml:space="preserve">Donald Eastlake, </w:t>
            </w:r>
            <w:proofErr w:type="spellStart"/>
            <w:r>
              <w:rPr>
                <w:rFonts w:ascii="Calibri" w:eastAsia="Calibri" w:hAnsi="Calibri" w:cs="Calibri"/>
                <w:color w:val="000000"/>
                <w:sz w:val="22"/>
                <w:szCs w:val="22"/>
              </w:rPr>
              <w:t>Reimb</w:t>
            </w:r>
            <w:proofErr w:type="spellEnd"/>
            <w:r>
              <w:rPr>
                <w:rFonts w:ascii="Calibri" w:eastAsia="Calibri" w:hAnsi="Calibri" w:cs="Calibri"/>
                <w:color w:val="000000"/>
                <w:sz w:val="22"/>
                <w:szCs w:val="22"/>
              </w:rPr>
              <w:t xml:space="preserve"> Domain Renewals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05/31/2025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$28.56</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$15,765.07</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7/1/2025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$340.12</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$15,704.95</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7/31/2025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$46.86</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$60.12</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$15,751.81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8/2/2025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$15,748.81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8/31/2025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$45.50</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$15,794.31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$15,791.31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Foot Anstey LLP EU/GB Trademarks (incl$45 Wire Fee)</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9/17/2025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$13,638.21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Gandi.net Charges</w:t>
            </w:r>
          </w:p>
        </w:tc>
        <w:tc>
          <w:tcPr>
            <w:tcW w:w="916"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1303</w:t>
            </w: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9/17/2025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$2,153.10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$13,413.05</w:t>
            </w:r>
          </w:p>
        </w:tc>
      </w:tr>
      <w:tr w:rsidR="0010414C">
        <w:tc>
          <w:tcPr>
            <w:tcW w:w="3224" w:type="dxa"/>
            <w:vAlign w:val="bottom"/>
          </w:tcPr>
          <w:p w:rsidR="0010414C" w:rsidRDefault="00050B5E">
            <w:pPr>
              <w:spacing w:before="40" w:after="40"/>
              <w:rPr>
                <w:rFonts w:ascii="Calibri" w:eastAsia="Calibri" w:hAnsi="Calibri" w:cs="Calibri"/>
                <w:color w:val="000000"/>
              </w:rPr>
            </w:pPr>
            <w:proofErr w:type="spellStart"/>
            <w:r>
              <w:rPr>
                <w:rFonts w:ascii="Calibri" w:eastAsia="Calibri" w:hAnsi="Calibri" w:cs="Calibri"/>
                <w:color w:val="000000"/>
                <w:sz w:val="22"/>
                <w:szCs w:val="22"/>
              </w:rPr>
              <w:t>ilGhf</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Ip</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Ppty</w:t>
            </w:r>
            <w:proofErr w:type="spellEnd"/>
            <w:r>
              <w:rPr>
                <w:rFonts w:ascii="Calibri" w:eastAsia="Calibri" w:hAnsi="Calibri" w:cs="Calibri"/>
                <w:color w:val="000000"/>
                <w:sz w:val="22"/>
                <w:szCs w:val="22"/>
              </w:rPr>
              <w:t xml:space="preserve"> Ltd Australian Trademarks Legal (incl$25 wire fee)</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9/18/2025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$225.16</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$12,321.05</w:t>
            </w:r>
          </w:p>
        </w:tc>
        <w:bookmarkStart w:id="1" w:name="_GoBack"/>
        <w:bookmarkEnd w:id="1"/>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10/1/2025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$1,092.00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$12,122.69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State of California (filings)</w:t>
            </w:r>
          </w:p>
        </w:tc>
        <w:tc>
          <w:tcPr>
            <w:tcW w:w="916"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50</w:t>
            </w: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10/17/2025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$198.36</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$12,097.69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9/30/2025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$0.01</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$25.00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 xml:space="preserve">$12,097.70 </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9/30/1995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$40.81</w:t>
            </w: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$12,138.51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10/31/2025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$37.30</w:t>
            </w: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$12,175.81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11/1/2025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$12,172.81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 xml:space="preserve">Deposit, Seattle </w:t>
            </w:r>
            <w:proofErr w:type="spellStart"/>
            <w:r>
              <w:rPr>
                <w:rFonts w:ascii="Calibri" w:eastAsia="Calibri" w:hAnsi="Calibri" w:cs="Calibri"/>
                <w:color w:val="000000"/>
                <w:sz w:val="22"/>
                <w:szCs w:val="22"/>
              </w:rPr>
              <w:t>Worldcon</w:t>
            </w:r>
            <w:proofErr w:type="spellEnd"/>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11/9/2025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$8,045.00</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$20,217.81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State of California (filings)</w:t>
            </w:r>
          </w:p>
        </w:tc>
        <w:tc>
          <w:tcPr>
            <w:tcW w:w="916"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1305</w:t>
            </w: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11/28/2025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$20,197.81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11/30/2025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$36.22</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$20.00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$20,234.03</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12/1/2025</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$20,231.03</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$0.01</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$20,231.04</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lastRenderedPageBreak/>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12/31/2025</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$37.54</w:t>
            </w: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$20,268.58</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11/1/2026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$20,265.58</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1/31/2026</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 xml:space="preserve">$37.67 </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$20,303.25</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2/1/2026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$20,300.25</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State of California (filings)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2/13/2026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$20,275.25</w:t>
            </w:r>
          </w:p>
        </w:tc>
      </w:tr>
      <w:tr w:rsidR="0010414C">
        <w:tc>
          <w:tcPr>
            <w:tcW w:w="3224" w:type="dxa"/>
            <w:vAlign w:val="bottom"/>
          </w:tcPr>
          <w:p w:rsidR="0010414C" w:rsidRDefault="00050B5E">
            <w:pPr>
              <w:spacing w:before="40" w:after="40"/>
              <w:rPr>
                <w:rFonts w:ascii="Calibri" w:eastAsia="Calibri" w:hAnsi="Calibri" w:cs="Calibri"/>
                <w:color w:val="000000"/>
              </w:rPr>
            </w:pPr>
            <w:proofErr w:type="spellStart"/>
            <w:r>
              <w:rPr>
                <w:rFonts w:ascii="Calibri" w:eastAsia="Calibri" w:hAnsi="Calibri" w:cs="Calibri"/>
                <w:color w:val="000000"/>
                <w:sz w:val="22"/>
                <w:szCs w:val="22"/>
              </w:rPr>
              <w:t>Ghf</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Ip</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Ppty</w:t>
            </w:r>
            <w:proofErr w:type="spellEnd"/>
            <w:r>
              <w:rPr>
                <w:rFonts w:ascii="Calibri" w:eastAsia="Calibri" w:hAnsi="Calibri" w:cs="Calibri"/>
                <w:color w:val="000000"/>
                <w:sz w:val="22"/>
                <w:szCs w:val="22"/>
              </w:rPr>
              <w:t xml:space="preserve"> Ltd Australian Trademarks Legal (incl$25 wire fee)</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2/13/2026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$25.00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$18,177.75</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2/28/2026</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$34.14</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$2,097.50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$18,211.89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3/1/2026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$18,208.89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California Meridian, Board D&amp;O Insurance</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3/4/2026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$16,997.89</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3/31/2026</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$0.01</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$1,211.00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$16,997.90</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3/31/2026</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$37.91</w:t>
            </w: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$17,035.81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Pair Domains</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4/1/2026</w:t>
            </w: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$17,032.81</w:t>
            </w:r>
          </w:p>
        </w:tc>
      </w:tr>
      <w:tr w:rsidR="0010414C">
        <w:tc>
          <w:tcPr>
            <w:tcW w:w="3224"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Deposit, Interest</w:t>
            </w:r>
          </w:p>
        </w:tc>
        <w:tc>
          <w:tcPr>
            <w:tcW w:w="916" w:type="dxa"/>
            <w:vAlign w:val="bottom"/>
          </w:tcPr>
          <w:p w:rsidR="0010414C" w:rsidRDefault="0010414C">
            <w:pPr>
              <w:spacing w:before="40" w:after="40"/>
              <w:rPr>
                <w:rFonts w:ascii="Calibri" w:eastAsia="Calibri" w:hAnsi="Calibri" w:cs="Calibri"/>
                <w:color w:val="000000"/>
              </w:rPr>
            </w:pPr>
          </w:p>
        </w:tc>
        <w:tc>
          <w:tcPr>
            <w:tcW w:w="1530"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4/30/2026</w:t>
            </w:r>
          </w:p>
        </w:tc>
        <w:tc>
          <w:tcPr>
            <w:tcW w:w="1563" w:type="dxa"/>
            <w:vAlign w:val="bottom"/>
          </w:tcPr>
          <w:p w:rsidR="0010414C" w:rsidRDefault="00050B5E" w:rsidP="00B71DE8">
            <w:pPr>
              <w:tabs>
                <w:tab w:val="decimal" w:pos="823"/>
              </w:tabs>
              <w:spacing w:before="40" w:after="40"/>
              <w:rPr>
                <w:rFonts w:ascii="Calibri" w:eastAsia="Calibri" w:hAnsi="Calibri" w:cs="Calibri"/>
                <w:color w:val="000000"/>
              </w:rPr>
            </w:pPr>
            <w:r>
              <w:rPr>
                <w:rFonts w:ascii="Calibri" w:eastAsia="Calibri" w:hAnsi="Calibri" w:cs="Calibri"/>
                <w:color w:val="000000"/>
                <w:sz w:val="22"/>
                <w:szCs w:val="22"/>
              </w:rPr>
              <w:t>$36.81</w:t>
            </w:r>
          </w:p>
        </w:tc>
        <w:tc>
          <w:tcPr>
            <w:tcW w:w="1255" w:type="dxa"/>
            <w:vAlign w:val="bottom"/>
          </w:tcPr>
          <w:p w:rsidR="0010414C" w:rsidRDefault="00050B5E" w:rsidP="00B71DE8">
            <w:pPr>
              <w:tabs>
                <w:tab w:val="decimal" w:pos="668"/>
              </w:tabs>
              <w:spacing w:before="40" w:after="40"/>
              <w:rPr>
                <w:rFonts w:ascii="Calibri" w:eastAsia="Calibri" w:hAnsi="Calibri" w:cs="Calibri"/>
                <w:color w:val="000000"/>
              </w:rPr>
            </w:pPr>
            <w:r>
              <w:rPr>
                <w:rFonts w:ascii="Calibri" w:eastAsia="Calibri" w:hAnsi="Calibri" w:cs="Calibri"/>
                <w:color w:val="000000"/>
                <w:sz w:val="22"/>
                <w:szCs w:val="22"/>
              </w:rPr>
              <w:t>$3.00</w:t>
            </w:r>
          </w:p>
        </w:tc>
        <w:tc>
          <w:tcPr>
            <w:tcW w:w="1432" w:type="dxa"/>
            <w:vAlign w:val="bottom"/>
          </w:tcPr>
          <w:p w:rsidR="0010414C" w:rsidRDefault="00050B5E">
            <w:pPr>
              <w:spacing w:before="40" w:after="40"/>
              <w:rPr>
                <w:rFonts w:ascii="Calibri" w:eastAsia="Calibri" w:hAnsi="Calibri" w:cs="Calibri"/>
                <w:color w:val="000000"/>
              </w:rPr>
            </w:pPr>
            <w:r>
              <w:rPr>
                <w:rFonts w:ascii="Calibri" w:eastAsia="Calibri" w:hAnsi="Calibri" w:cs="Calibri"/>
                <w:color w:val="000000"/>
                <w:sz w:val="22"/>
                <w:szCs w:val="22"/>
              </w:rPr>
              <w:t>$17,069.62</w:t>
            </w:r>
          </w:p>
        </w:tc>
      </w:tr>
      <w:tr w:rsidR="0010414C">
        <w:tc>
          <w:tcPr>
            <w:tcW w:w="3224" w:type="dxa"/>
            <w:vAlign w:val="bottom"/>
          </w:tcPr>
          <w:p w:rsidR="0010414C" w:rsidRDefault="00050B5E" w:rsidP="00B71DE8">
            <w:pPr>
              <w:spacing w:before="40" w:after="40"/>
              <w:rPr>
                <w:rFonts w:ascii="Calibri" w:eastAsia="Calibri" w:hAnsi="Calibri" w:cs="Calibri"/>
                <w:b/>
                <w:bCs/>
                <w:color w:val="000000"/>
              </w:rPr>
            </w:pPr>
            <w:r>
              <w:rPr>
                <w:rFonts w:ascii="Calibri" w:eastAsia="Calibri" w:hAnsi="Calibri" w:cs="Calibri"/>
                <w:b/>
                <w:bCs/>
                <w:color w:val="000000"/>
              </w:rPr>
              <w:t>Book Balance April 30, 202</w:t>
            </w:r>
            <w:r w:rsidR="00B71DE8">
              <w:rPr>
                <w:rFonts w:ascii="Calibri" w:eastAsia="Calibri" w:hAnsi="Calibri" w:cs="Calibri"/>
                <w:b/>
                <w:bCs/>
                <w:color w:val="000000"/>
              </w:rPr>
              <w:t>6</w:t>
            </w:r>
          </w:p>
        </w:tc>
        <w:tc>
          <w:tcPr>
            <w:tcW w:w="916" w:type="dxa"/>
          </w:tcPr>
          <w:p w:rsidR="0010414C" w:rsidRDefault="0010414C">
            <w:pPr>
              <w:spacing w:before="40" w:after="40"/>
              <w:rPr>
                <w:rFonts w:ascii="Calibri" w:eastAsia="Calibri" w:hAnsi="Calibri" w:cs="Calibri"/>
                <w:color w:val="000000"/>
              </w:rPr>
            </w:pPr>
          </w:p>
        </w:tc>
        <w:tc>
          <w:tcPr>
            <w:tcW w:w="1530" w:type="dxa"/>
            <w:vAlign w:val="bottom"/>
          </w:tcPr>
          <w:p w:rsidR="0010414C" w:rsidRDefault="0010414C">
            <w:pPr>
              <w:spacing w:before="40" w:after="40"/>
              <w:rPr>
                <w:rFonts w:ascii="Calibri" w:eastAsia="Calibri" w:hAnsi="Calibri" w:cs="Calibri"/>
                <w:color w:val="000000"/>
              </w:rPr>
            </w:pPr>
          </w:p>
        </w:tc>
        <w:tc>
          <w:tcPr>
            <w:tcW w:w="1563" w:type="dxa"/>
            <w:vAlign w:val="bottom"/>
          </w:tcPr>
          <w:p w:rsidR="0010414C" w:rsidRDefault="0010414C" w:rsidP="00B71DE8">
            <w:pPr>
              <w:tabs>
                <w:tab w:val="decimal" w:pos="823"/>
              </w:tabs>
              <w:spacing w:before="40" w:after="40"/>
              <w:rPr>
                <w:rFonts w:ascii="Calibri" w:eastAsia="Calibri" w:hAnsi="Calibri" w:cs="Calibri"/>
                <w:color w:val="000000"/>
              </w:rPr>
            </w:pPr>
          </w:p>
        </w:tc>
        <w:tc>
          <w:tcPr>
            <w:tcW w:w="1255" w:type="dxa"/>
            <w:vAlign w:val="bottom"/>
          </w:tcPr>
          <w:p w:rsidR="0010414C" w:rsidRDefault="0010414C" w:rsidP="00B71DE8">
            <w:pPr>
              <w:tabs>
                <w:tab w:val="decimal" w:pos="668"/>
              </w:tabs>
              <w:spacing w:before="40" w:after="40"/>
              <w:rPr>
                <w:rFonts w:ascii="Calibri" w:eastAsia="Calibri" w:hAnsi="Calibri" w:cs="Calibri"/>
                <w:color w:val="000000"/>
              </w:rPr>
            </w:pPr>
          </w:p>
        </w:tc>
        <w:tc>
          <w:tcPr>
            <w:tcW w:w="1432" w:type="dxa"/>
            <w:vAlign w:val="bottom"/>
          </w:tcPr>
          <w:p w:rsidR="0010414C" w:rsidRDefault="00050B5E">
            <w:pPr>
              <w:spacing w:before="40" w:after="40"/>
              <w:rPr>
                <w:rFonts w:ascii="Calibri" w:eastAsia="Calibri" w:hAnsi="Calibri" w:cs="Calibri"/>
                <w:b/>
                <w:bCs/>
                <w:color w:val="000000"/>
              </w:rPr>
            </w:pPr>
            <w:r>
              <w:rPr>
                <w:rFonts w:ascii="Calibri" w:eastAsia="Calibri" w:hAnsi="Calibri" w:cs="Calibri"/>
                <w:b/>
                <w:bCs/>
                <w:color w:val="000000"/>
                <w:sz w:val="22"/>
                <w:szCs w:val="22"/>
              </w:rPr>
              <w:t>$17,069.62</w:t>
            </w:r>
          </w:p>
        </w:tc>
      </w:tr>
    </w:tbl>
    <w:p w:rsidR="0010414C" w:rsidRDefault="0010414C">
      <w:pPr>
        <w:spacing w:before="0"/>
        <w:rPr>
          <w:rFonts w:ascii="Calibri" w:eastAsia="Calibri" w:hAnsi="Calibri" w:cs="Calibri"/>
        </w:rPr>
      </w:pPr>
    </w:p>
    <w:tbl>
      <w:tblPr>
        <w:tblStyle w:val="a5"/>
        <w:tblW w:w="465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0"/>
        <w:gridCol w:w="1316"/>
      </w:tblGrid>
      <w:tr w:rsidR="0010414C">
        <w:tc>
          <w:tcPr>
            <w:tcW w:w="4656" w:type="dxa"/>
            <w:gridSpan w:val="2"/>
            <w:tcBorders>
              <w:top w:val="nil"/>
              <w:left w:val="nil"/>
              <w:right w:val="nil"/>
            </w:tcBorders>
            <w:vAlign w:val="bottom"/>
          </w:tcPr>
          <w:p w:rsidR="0010414C" w:rsidRDefault="00050B5E">
            <w:pPr>
              <w:spacing w:before="40" w:after="40"/>
              <w:jc w:val="center"/>
              <w:rPr>
                <w:rFonts w:ascii="Arial" w:eastAsia="Arial" w:hAnsi="Arial" w:cs="Arial"/>
                <w:color w:val="000000"/>
              </w:rPr>
            </w:pPr>
            <w:r>
              <w:rPr>
                <w:rFonts w:ascii="Calibri" w:eastAsia="Calibri" w:hAnsi="Calibri" w:cs="Calibri"/>
                <w:b/>
                <w:bCs/>
                <w:color w:val="000000"/>
                <w:sz w:val="22"/>
                <w:szCs w:val="22"/>
              </w:rPr>
              <w:t>Account Balance April 30, 2026</w:t>
            </w:r>
          </w:p>
        </w:tc>
      </w:tr>
      <w:tr w:rsidR="0010414C">
        <w:tc>
          <w:tcPr>
            <w:tcW w:w="3340" w:type="dxa"/>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Checking, Redwood CU</w:t>
            </w:r>
          </w:p>
        </w:tc>
        <w:tc>
          <w:tcPr>
            <w:tcW w:w="1316" w:type="dxa"/>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$5,532.12</w:t>
            </w:r>
          </w:p>
        </w:tc>
      </w:tr>
      <w:tr w:rsidR="0010414C">
        <w:tc>
          <w:tcPr>
            <w:tcW w:w="3340" w:type="dxa"/>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Share Account, Redwood CU</w:t>
            </w:r>
          </w:p>
        </w:tc>
        <w:tc>
          <w:tcPr>
            <w:tcW w:w="1316" w:type="dxa"/>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100.03</w:t>
            </w:r>
          </w:p>
        </w:tc>
      </w:tr>
      <w:tr w:rsidR="0010414C">
        <w:tc>
          <w:tcPr>
            <w:tcW w:w="3340" w:type="dxa"/>
            <w:tcBorders>
              <w:bottom w:val="single" w:sz="6" w:space="0" w:color="000000"/>
            </w:tcBorders>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Share Certification, Redwood CU</w:t>
            </w:r>
          </w:p>
        </w:tc>
        <w:tc>
          <w:tcPr>
            <w:tcW w:w="1316" w:type="dxa"/>
            <w:tcBorders>
              <w:bottom w:val="single" w:sz="6" w:space="0" w:color="000000"/>
            </w:tcBorders>
            <w:vAlign w:val="bottom"/>
          </w:tcPr>
          <w:p w:rsidR="0010414C" w:rsidRDefault="00050B5E">
            <w:pPr>
              <w:spacing w:before="40" w:after="40"/>
              <w:rPr>
                <w:rFonts w:ascii="Arial" w:eastAsia="Arial" w:hAnsi="Arial" w:cs="Arial"/>
                <w:color w:val="000000"/>
              </w:rPr>
            </w:pPr>
            <w:r>
              <w:rPr>
                <w:rFonts w:ascii="Calibri" w:eastAsia="Calibri" w:hAnsi="Calibri" w:cs="Calibri"/>
                <w:color w:val="000000"/>
                <w:sz w:val="22"/>
                <w:szCs w:val="22"/>
              </w:rPr>
              <w:t>11,437.47</w:t>
            </w:r>
          </w:p>
        </w:tc>
      </w:tr>
      <w:tr w:rsidR="0010414C">
        <w:tc>
          <w:tcPr>
            <w:tcW w:w="3340" w:type="dxa"/>
            <w:tcBorders>
              <w:top w:val="single" w:sz="6" w:space="0" w:color="000000"/>
              <w:left w:val="single" w:sz="6" w:space="0" w:color="000000"/>
              <w:bottom w:val="single" w:sz="6" w:space="0" w:color="000000"/>
              <w:right w:val="single" w:sz="6" w:space="0" w:color="000000"/>
            </w:tcBorders>
            <w:vAlign w:val="bottom"/>
          </w:tcPr>
          <w:p w:rsidR="0010414C" w:rsidRDefault="00050B5E" w:rsidP="00B71DE8">
            <w:pPr>
              <w:spacing w:before="40" w:after="40"/>
              <w:rPr>
                <w:rFonts w:ascii="Arial" w:eastAsia="Arial" w:hAnsi="Arial" w:cs="Arial"/>
                <w:b/>
                <w:bCs/>
                <w:color w:val="000000"/>
              </w:rPr>
            </w:pPr>
            <w:r>
              <w:rPr>
                <w:rFonts w:ascii="Arial" w:eastAsia="Arial" w:hAnsi="Arial" w:cs="Arial"/>
                <w:b/>
                <w:bCs/>
                <w:color w:val="000000"/>
              </w:rPr>
              <w:t>Book Balance April 30, 202</w:t>
            </w:r>
            <w:r w:rsidR="00B71DE8">
              <w:rPr>
                <w:rFonts w:ascii="Arial" w:eastAsia="Arial" w:hAnsi="Arial" w:cs="Arial"/>
                <w:b/>
                <w:bCs/>
                <w:color w:val="000000"/>
              </w:rPr>
              <w:t>6</w:t>
            </w:r>
          </w:p>
        </w:tc>
        <w:tc>
          <w:tcPr>
            <w:tcW w:w="1316" w:type="dxa"/>
            <w:tcBorders>
              <w:top w:val="single" w:sz="6" w:space="0" w:color="000000"/>
              <w:left w:val="single" w:sz="6" w:space="0" w:color="000000"/>
              <w:bottom w:val="single" w:sz="6" w:space="0" w:color="000000"/>
              <w:right w:val="single" w:sz="6" w:space="0" w:color="000000"/>
            </w:tcBorders>
            <w:vAlign w:val="bottom"/>
          </w:tcPr>
          <w:p w:rsidR="0010414C" w:rsidRDefault="00050B5E">
            <w:pPr>
              <w:spacing w:before="40" w:after="40"/>
              <w:rPr>
                <w:rFonts w:ascii="Arial" w:eastAsia="Arial" w:hAnsi="Arial" w:cs="Arial"/>
                <w:b/>
                <w:bCs/>
                <w:color w:val="000000"/>
              </w:rPr>
            </w:pPr>
            <w:r>
              <w:rPr>
                <w:rFonts w:ascii="Calibri" w:eastAsia="Calibri" w:hAnsi="Calibri" w:cs="Calibri"/>
                <w:b/>
                <w:bCs/>
                <w:color w:val="000000"/>
                <w:sz w:val="22"/>
                <w:szCs w:val="22"/>
              </w:rPr>
              <w:t>$17,069.62</w:t>
            </w:r>
          </w:p>
        </w:tc>
      </w:tr>
    </w:tbl>
    <w:p w:rsidR="0010414C" w:rsidRDefault="0010414C">
      <w:pPr>
        <w:spacing w:before="200"/>
        <w:rPr>
          <w:rFonts w:ascii="Calibri" w:eastAsia="Calibri" w:hAnsi="Calibri" w:cs="Calibri"/>
        </w:rPr>
      </w:pPr>
    </w:p>
    <w:p w:rsidR="0010414C" w:rsidRDefault="00050B5E">
      <w:pPr>
        <w:spacing w:before="200"/>
        <w:rPr>
          <w:rFonts w:ascii="Calibri" w:eastAsia="Calibri" w:hAnsi="Calibri" w:cs="Calibri"/>
        </w:rPr>
      </w:pPr>
      <w:r>
        <w:rPr>
          <w:rFonts w:ascii="Calibri" w:eastAsia="Calibri" w:hAnsi="Calibri" w:cs="Calibri"/>
        </w:rPr>
        <w:t>—Bruce Farr</w:t>
      </w:r>
    </w:p>
    <w:p w:rsidR="0010414C" w:rsidRDefault="00050B5E">
      <w:pPr>
        <w:pageBreakBefore/>
        <w:spacing w:before="200"/>
        <w:rPr>
          <w:b/>
          <w:bCs/>
        </w:rPr>
      </w:pPr>
      <w:r>
        <w:rPr>
          <w:b/>
          <w:bCs/>
        </w:rPr>
        <w:lastRenderedPageBreak/>
        <w:t>WSFS Hugo Awards Marketing Committee</w:t>
      </w:r>
      <w:r>
        <w:rPr>
          <w:b/>
          <w:bCs/>
        </w:rPr>
        <w:br/>
        <w:t>June 2025-May 2026</w:t>
      </w:r>
    </w:p>
    <w:p w:rsidR="0010414C" w:rsidRDefault="00050B5E">
      <w:pPr>
        <w:pBdr>
          <w:top w:val="nil"/>
          <w:left w:val="nil"/>
          <w:bottom w:val="nil"/>
          <w:right w:val="nil"/>
          <w:between w:val="nil"/>
        </w:pBdr>
        <w:rPr>
          <w:color w:val="000000"/>
        </w:rPr>
      </w:pPr>
      <w:r>
        <w:rPr>
          <w:color w:val="000000"/>
        </w:rPr>
        <w:t xml:space="preserve">The WSFS Marketing Committee (“WSFSMC”) members are Linda Deneroff (Chair), Jerry Kaufman, Craig Miller, Chris Rose, Kevin </w:t>
      </w:r>
      <w:proofErr w:type="spellStart"/>
      <w:r>
        <w:rPr>
          <w:color w:val="000000"/>
        </w:rPr>
        <w:t>Standlee</w:t>
      </w:r>
      <w:proofErr w:type="spellEnd"/>
      <w:r>
        <w:rPr>
          <w:color w:val="000000"/>
        </w:rPr>
        <w:t xml:space="preserve">, and Jo Van </w:t>
      </w:r>
      <w:proofErr w:type="spellStart"/>
      <w:r>
        <w:rPr>
          <w:color w:val="000000"/>
        </w:rPr>
        <w:t>Ekeren</w:t>
      </w:r>
      <w:proofErr w:type="spellEnd"/>
      <w:r>
        <w:rPr>
          <w:color w:val="000000"/>
        </w:rPr>
        <w:t>. The WSFSMC was established by the WSFS Mark Protection Committee, and its chair and members are appointed by the MPC annually.</w:t>
      </w:r>
    </w:p>
    <w:p w:rsidR="0010414C" w:rsidRDefault="00050B5E">
      <w:pPr>
        <w:pBdr>
          <w:top w:val="nil"/>
          <w:left w:val="nil"/>
          <w:bottom w:val="nil"/>
          <w:right w:val="nil"/>
          <w:between w:val="nil"/>
        </w:pBdr>
        <w:rPr>
          <w:color w:val="000000"/>
        </w:rPr>
      </w:pPr>
      <w:r>
        <w:rPr>
          <w:color w:val="000000"/>
        </w:rPr>
        <w:t xml:space="preserve">The WSFSMC continues to work with </w:t>
      </w:r>
      <w:proofErr w:type="spellStart"/>
      <w:r>
        <w:rPr>
          <w:color w:val="000000"/>
        </w:rPr>
        <w:t>Worldcon</w:t>
      </w:r>
      <w:proofErr w:type="spellEnd"/>
      <w:r>
        <w:rPr>
          <w:color w:val="000000"/>
        </w:rPr>
        <w:t xml:space="preserve"> committees to support the marketing of the Hugo Awards, to handle inquiries from the press regarding the Awards as needed, to maintain TheHugoAwards.org, including the list of past finalists and winners, and archiving the “Section 3.11.4” reports of nomination and voting information issued by Hugo Award administrators, and to maintain the WSFS.org, Worldcon.org, and NASFiC.org websites and answer general queries submitted through those sites.</w:t>
      </w:r>
    </w:p>
    <w:p w:rsidR="0010414C" w:rsidRDefault="00050B5E">
      <w:pPr>
        <w:pBdr>
          <w:top w:val="nil"/>
          <w:left w:val="nil"/>
          <w:bottom w:val="nil"/>
          <w:right w:val="nil"/>
          <w:between w:val="nil"/>
        </w:pBdr>
        <w:rPr>
          <w:color w:val="000000"/>
        </w:rPr>
      </w:pPr>
      <w:r>
        <w:rPr>
          <w:color w:val="000000"/>
        </w:rPr>
        <w:t xml:space="preserve">The WSFSMC will continue to cooperate with </w:t>
      </w:r>
      <w:proofErr w:type="spellStart"/>
      <w:r>
        <w:rPr>
          <w:color w:val="000000"/>
        </w:rPr>
        <w:t>Worldcon</w:t>
      </w:r>
      <w:proofErr w:type="spellEnd"/>
      <w:r>
        <w:rPr>
          <w:color w:val="000000"/>
        </w:rPr>
        <w:t xml:space="preserve"> committees so that we can update the Hugo Awards web site at the first opportunity after the awards are announced as well as to use the @</w:t>
      </w:r>
      <w:proofErr w:type="spellStart"/>
      <w:r>
        <w:rPr>
          <w:color w:val="000000"/>
        </w:rPr>
        <w:t>TheHugoAwards</w:t>
      </w:r>
      <w:proofErr w:type="spellEnd"/>
      <w:r>
        <w:rPr>
          <w:color w:val="000000"/>
        </w:rPr>
        <w:t xml:space="preserve"> </w:t>
      </w:r>
      <w:proofErr w:type="spellStart"/>
      <w:r>
        <w:rPr>
          <w:color w:val="000000"/>
        </w:rPr>
        <w:t>BlueSky</w:t>
      </w:r>
      <w:proofErr w:type="spellEnd"/>
      <w:r>
        <w:rPr>
          <w:color w:val="000000"/>
        </w:rPr>
        <w:t xml:space="preserve"> feed, Hugo Awards Facebook page, and other social media to publicize the announcements of the winners in each category.</w:t>
      </w:r>
    </w:p>
    <w:p w:rsidR="0010414C" w:rsidRDefault="00050B5E">
      <w:pPr>
        <w:pBdr>
          <w:top w:val="nil"/>
          <w:left w:val="nil"/>
          <w:bottom w:val="nil"/>
          <w:right w:val="nil"/>
          <w:between w:val="nil"/>
        </w:pBdr>
        <w:spacing w:before="360"/>
        <w:jc w:val="center"/>
        <w:rPr>
          <w:color w:val="000000"/>
        </w:rPr>
      </w:pPr>
      <w:r>
        <w:rPr>
          <w:color w:val="000000"/>
        </w:rPr>
        <w:t>thehugoawards.org</w:t>
      </w:r>
      <w:r>
        <w:rPr>
          <w:color w:val="000000"/>
        </w:rPr>
        <w:br/>
        <w:t>Views per Month</w:t>
      </w:r>
      <w:r>
        <w:rPr>
          <w:color w:val="000000"/>
        </w:rPr>
        <w:br/>
        <w:t>June 1, 2025-May 24, 2026</w:t>
      </w:r>
    </w:p>
    <w:p w:rsidR="0010414C" w:rsidRDefault="00050B5E">
      <w:pPr>
        <w:pBdr>
          <w:top w:val="nil"/>
          <w:left w:val="nil"/>
          <w:bottom w:val="nil"/>
          <w:right w:val="nil"/>
          <w:between w:val="nil"/>
        </w:pBdr>
        <w:spacing w:before="180"/>
        <w:jc w:val="both"/>
        <w:rPr>
          <w:color w:val="000000"/>
        </w:rPr>
      </w:pPr>
      <w:r>
        <w:rPr>
          <w:noProof/>
          <w:color w:val="000000"/>
          <w:sz w:val="24"/>
          <w:szCs w:val="24"/>
          <w:lang w:val="en-US"/>
        </w:rPr>
        <w:drawing>
          <wp:inline distT="0" distB="0" distL="0" distR="0">
            <wp:extent cx="6428105" cy="242824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2560" t="33990" r="10847" b="19200"/>
                    <a:stretch>
                      <a:fillRect/>
                    </a:stretch>
                  </pic:blipFill>
                  <pic:spPr>
                    <a:xfrm>
                      <a:off x="0" y="0"/>
                      <a:ext cx="6428105" cy="2428240"/>
                    </a:xfrm>
                    <a:prstGeom prst="rect">
                      <a:avLst/>
                    </a:prstGeom>
                    <a:ln/>
                  </pic:spPr>
                </pic:pic>
              </a:graphicData>
            </a:graphic>
          </wp:inline>
        </w:drawing>
      </w:r>
    </w:p>
    <w:p w:rsidR="0010414C" w:rsidRDefault="00050B5E">
      <w:pPr>
        <w:keepNext/>
        <w:pBdr>
          <w:top w:val="nil"/>
          <w:left w:val="nil"/>
          <w:bottom w:val="nil"/>
          <w:right w:val="nil"/>
          <w:between w:val="nil"/>
        </w:pBdr>
        <w:spacing w:before="180"/>
        <w:jc w:val="center"/>
        <w:rPr>
          <w:color w:val="000000"/>
        </w:rPr>
      </w:pPr>
      <w:r>
        <w:rPr>
          <w:color w:val="000000"/>
        </w:rPr>
        <w:lastRenderedPageBreak/>
        <w:t>thehugoawards.org</w:t>
      </w:r>
      <w:r>
        <w:rPr>
          <w:color w:val="000000"/>
        </w:rPr>
        <w:br/>
        <w:t xml:space="preserve">Most Requested Pages/Posts and </w:t>
      </w:r>
      <w:proofErr w:type="spellStart"/>
      <w:r>
        <w:rPr>
          <w:color w:val="000000"/>
        </w:rPr>
        <w:t>ReferrersJune</w:t>
      </w:r>
      <w:proofErr w:type="spellEnd"/>
      <w:r>
        <w:rPr>
          <w:color w:val="000000"/>
        </w:rPr>
        <w:t xml:space="preserve"> 1, 2025-May 24, 2026</w:t>
      </w:r>
    </w:p>
    <w:p w:rsidR="0010414C" w:rsidRDefault="00050B5E">
      <w:pPr>
        <w:keepNext/>
        <w:pBdr>
          <w:top w:val="nil"/>
          <w:left w:val="nil"/>
          <w:bottom w:val="nil"/>
          <w:right w:val="nil"/>
          <w:between w:val="nil"/>
        </w:pBdr>
        <w:spacing w:before="180"/>
        <w:jc w:val="center"/>
        <w:rPr>
          <w:color w:val="000000"/>
        </w:rPr>
      </w:pPr>
      <w:r>
        <w:rPr>
          <w:noProof/>
          <w:color w:val="000000"/>
          <w:sz w:val="24"/>
          <w:szCs w:val="24"/>
          <w:lang w:val="en-US"/>
        </w:rPr>
        <w:drawing>
          <wp:inline distT="0" distB="0" distL="0" distR="0">
            <wp:extent cx="5687568" cy="245059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0673" t="28623" r="10096" b="15921"/>
                    <a:stretch>
                      <a:fillRect/>
                    </a:stretch>
                  </pic:blipFill>
                  <pic:spPr>
                    <a:xfrm>
                      <a:off x="0" y="0"/>
                      <a:ext cx="5687568" cy="2450592"/>
                    </a:xfrm>
                    <a:prstGeom prst="rect">
                      <a:avLst/>
                    </a:prstGeom>
                    <a:ln/>
                  </pic:spPr>
                </pic:pic>
              </a:graphicData>
            </a:graphic>
          </wp:inline>
        </w:drawing>
      </w:r>
    </w:p>
    <w:p w:rsidR="0010414C" w:rsidRDefault="00050B5E">
      <w:pPr>
        <w:keepNext/>
        <w:pBdr>
          <w:top w:val="nil"/>
          <w:left w:val="nil"/>
          <w:bottom w:val="nil"/>
          <w:right w:val="nil"/>
          <w:between w:val="nil"/>
        </w:pBdr>
        <w:spacing w:before="180"/>
        <w:jc w:val="center"/>
        <w:rPr>
          <w:color w:val="000000"/>
        </w:rPr>
      </w:pPr>
      <w:r>
        <w:rPr>
          <w:color w:val="000000"/>
        </w:rPr>
        <w:t>Thehugoawards.org</w:t>
      </w:r>
      <w:r>
        <w:rPr>
          <w:color w:val="000000"/>
        </w:rPr>
        <w:br/>
        <w:t>Top Page Views per Country</w:t>
      </w:r>
      <w:r>
        <w:rPr>
          <w:color w:val="000000"/>
        </w:rPr>
        <w:br/>
        <w:t>June 1, 2025-May 24, 2026</w:t>
      </w:r>
    </w:p>
    <w:p w:rsidR="0010414C" w:rsidRDefault="00050B5E">
      <w:pPr>
        <w:keepNext/>
        <w:pBdr>
          <w:top w:val="nil"/>
          <w:left w:val="nil"/>
          <w:bottom w:val="nil"/>
          <w:right w:val="nil"/>
          <w:between w:val="nil"/>
        </w:pBdr>
        <w:spacing w:before="180"/>
        <w:jc w:val="center"/>
        <w:rPr>
          <w:color w:val="000000"/>
        </w:rPr>
      </w:pPr>
      <w:r>
        <w:rPr>
          <w:noProof/>
          <w:color w:val="000000"/>
          <w:lang w:val="en-US"/>
        </w:rPr>
        <w:drawing>
          <wp:inline distT="0" distB="0" distL="0" distR="0">
            <wp:extent cx="2533651" cy="2914651"/>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67578" t="37936" r="11641" b="17587"/>
                    <a:stretch>
                      <a:fillRect/>
                    </a:stretch>
                  </pic:blipFill>
                  <pic:spPr>
                    <a:xfrm>
                      <a:off x="0" y="0"/>
                      <a:ext cx="2533651" cy="2914651"/>
                    </a:xfrm>
                    <a:prstGeom prst="rect">
                      <a:avLst/>
                    </a:prstGeom>
                    <a:ln/>
                  </pic:spPr>
                </pic:pic>
              </a:graphicData>
            </a:graphic>
          </wp:inline>
        </w:drawing>
      </w:r>
    </w:p>
    <w:p w:rsidR="0010414C" w:rsidRDefault="00050B5E">
      <w:pPr>
        <w:pBdr>
          <w:top w:val="nil"/>
          <w:left w:val="nil"/>
          <w:bottom w:val="nil"/>
          <w:right w:val="nil"/>
          <w:between w:val="nil"/>
        </w:pBdr>
        <w:spacing w:before="180"/>
        <w:rPr>
          <w:color w:val="000000"/>
        </w:rPr>
      </w:pPr>
      <w:r>
        <w:rPr>
          <w:color w:val="000000"/>
        </w:rPr>
        <w:t xml:space="preserve">We continue to attempt to gather all the recordings of past Hugo Awards ceremonies (including any made before online posting of such recordings was possible or common) and to put copies of them in the </w:t>
      </w:r>
      <w:proofErr w:type="spellStart"/>
      <w:r>
        <w:rPr>
          <w:color w:val="000000"/>
        </w:rPr>
        <w:t>Worldcon</w:t>
      </w:r>
      <w:proofErr w:type="spellEnd"/>
      <w:r>
        <w:rPr>
          <w:color w:val="000000"/>
        </w:rPr>
        <w:t xml:space="preserve"> Events YouTube channel. We are still looking for a copy of the 2017 Hugo Awards ceremony recording that was deleted when the 2017 </w:t>
      </w:r>
      <w:proofErr w:type="spellStart"/>
      <w:r>
        <w:rPr>
          <w:color w:val="000000"/>
        </w:rPr>
        <w:t>Worldcon’s</w:t>
      </w:r>
      <w:proofErr w:type="spellEnd"/>
      <w:r>
        <w:rPr>
          <w:color w:val="000000"/>
        </w:rPr>
        <w:t xml:space="preserve"> YouTube channel was deleted. If anyone has a copy of the 2017 ceremony video that they can provide us, we will upload it to the </w:t>
      </w:r>
      <w:proofErr w:type="spellStart"/>
      <w:r>
        <w:rPr>
          <w:color w:val="000000"/>
        </w:rPr>
        <w:t>Worldcon</w:t>
      </w:r>
      <w:proofErr w:type="spellEnd"/>
      <w:r>
        <w:rPr>
          <w:color w:val="000000"/>
        </w:rPr>
        <w:t xml:space="preserve"> Events channel.</w:t>
      </w:r>
    </w:p>
    <w:p w:rsidR="0010414C" w:rsidRDefault="00050B5E">
      <w:pPr>
        <w:pBdr>
          <w:top w:val="nil"/>
          <w:left w:val="nil"/>
          <w:bottom w:val="nil"/>
          <w:right w:val="nil"/>
          <w:between w:val="nil"/>
        </w:pBdr>
        <w:spacing w:before="180"/>
        <w:rPr>
          <w:color w:val="000000"/>
        </w:rPr>
      </w:pPr>
      <w:r>
        <w:rPr>
          <w:color w:val="000000"/>
        </w:rPr>
        <w:t xml:space="preserve">We maintain the list of seated, future, and recent </w:t>
      </w:r>
      <w:proofErr w:type="spellStart"/>
      <w:r>
        <w:rPr>
          <w:color w:val="000000"/>
        </w:rPr>
        <w:t>Worldcons</w:t>
      </w:r>
      <w:proofErr w:type="spellEnd"/>
      <w:r>
        <w:rPr>
          <w:color w:val="000000"/>
        </w:rPr>
        <w:t xml:space="preserve"> and the lists of bids for future conventions to the best of our knowledge. Multiple members of the committee </w:t>
      </w:r>
      <w:r>
        <w:rPr>
          <w:color w:val="000000"/>
        </w:rPr>
        <w:lastRenderedPageBreak/>
        <w:t>have the credentials for the web sites. Bandwidth and disk space usage for the web sites we manage were within the allowances for our account. We may see peak loads around the time of the winner announcements and will work with our hosting provider to minimize extra charges, which are borne by the Mark Protection Committee.</w:t>
      </w:r>
    </w:p>
    <w:p w:rsidR="0010414C" w:rsidRDefault="00050B5E">
      <w:pPr>
        <w:pBdr>
          <w:top w:val="nil"/>
          <w:left w:val="nil"/>
          <w:bottom w:val="nil"/>
          <w:right w:val="nil"/>
          <w:between w:val="nil"/>
        </w:pBdr>
        <w:spacing w:before="180"/>
        <w:rPr>
          <w:color w:val="000000"/>
        </w:rPr>
      </w:pPr>
      <w:r>
        <w:rPr>
          <w:color w:val="000000"/>
        </w:rPr>
        <w:t xml:space="preserve">We continue to field inquiries directed to Worldcon.org and TheHugoAwards.org, forwarding them to the current </w:t>
      </w:r>
      <w:proofErr w:type="spellStart"/>
      <w:r>
        <w:rPr>
          <w:color w:val="000000"/>
        </w:rPr>
        <w:t>Worldcon</w:t>
      </w:r>
      <w:proofErr w:type="spellEnd"/>
      <w:r>
        <w:rPr>
          <w:color w:val="000000"/>
        </w:rPr>
        <w:t xml:space="preserve"> or Mark Protection Committee, as necessary.</w:t>
      </w:r>
    </w:p>
    <w:sectPr w:rsidR="0010414C">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4D587C-0D94-4B37-A1C6-69E441079F5E}"/>
    <w:embedBold r:id="rId2" w:fontKey="{BA50D78A-7EC7-4A8E-B04E-2E006C9E2F40}"/>
    <w:embedBoldItalic r:id="rId3" w:fontKey="{32909B32-F203-4A39-87E9-5B823A3A75A8}"/>
  </w:font>
  <w:font w:name="Georgia">
    <w:panose1 w:val="02040502050405020303"/>
    <w:charset w:val="00"/>
    <w:family w:val="roman"/>
    <w:pitch w:val="variable"/>
    <w:sig w:usb0="00000287" w:usb1="00000000" w:usb2="00000000" w:usb3="00000000" w:csb0="0000009F" w:csb1="00000000"/>
    <w:embedItalic r:id="rId4" w:fontKey="{153F3DAF-645E-4638-939E-39A16B5AB81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EFD7CEA-E4F4-4F75-92F0-73996358181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defaultTabStop w:val="720"/>
  <w:characterSpacingControl w:val="doNotCompress"/>
  <w:compat>
    <w:compatSetting w:name="compatibilityMode" w:uri="http://schemas.microsoft.com/office/word" w:val="14"/>
  </w:compat>
  <w:rsids>
    <w:rsidRoot w:val="0010414C"/>
    <w:rsid w:val="00050B5E"/>
    <w:rsid w:val="0010414C"/>
    <w:rsid w:val="004B08C6"/>
    <w:rsid w:val="00B71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8E18"/>
  <w15:docId w15:val="{8D7CCCB8-D304-4AE1-AB7A-59263B06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A"/>
        <w:sz w:val="26"/>
        <w:szCs w:val="26"/>
        <w:lang w:val="en" w:eastAsia="en-US" w:bidi="ar-SA"/>
      </w:rPr>
    </w:rPrDefault>
    <w:pPrDefault>
      <w:pPr>
        <w:spacing w:before="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after="60"/>
      <w:ind w:left="720" w:hanging="720"/>
      <w:outlineLvl w:val="0"/>
    </w:pPr>
    <w:rPr>
      <w:rFonts w:ascii="Calibri" w:eastAsia="Calibri" w:hAnsi="Calibri" w:cs="Calibri"/>
      <w:b/>
      <w:bCs/>
      <w:color w:val="000000"/>
      <w:sz w:val="32"/>
      <w:szCs w:val="32"/>
    </w:rPr>
  </w:style>
  <w:style w:type="paragraph" w:styleId="Heading2">
    <w:name w:val="heading 2"/>
    <w:basedOn w:val="Normal"/>
    <w:next w:val="Normal"/>
    <w:pPr>
      <w:keepNext/>
      <w:keepLines/>
      <w:ind w:left="720"/>
      <w:outlineLvl w:val="1"/>
    </w:pPr>
    <w:rPr>
      <w:b/>
      <w:bCs/>
    </w:rPr>
  </w:style>
  <w:style w:type="paragraph" w:styleId="Heading3">
    <w:name w:val="heading 3"/>
    <w:basedOn w:val="Normal"/>
    <w:next w:val="Normal"/>
    <w:pPr>
      <w:keepNext/>
      <w:spacing w:after="60"/>
      <w:ind w:left="2160" w:hanging="720"/>
      <w:outlineLvl w:val="2"/>
    </w:pPr>
    <w:rPr>
      <w:rFonts w:ascii="Calibri" w:eastAsia="Calibri" w:hAnsi="Calibri" w:cs="Calibri"/>
      <w:b/>
      <w:bCs/>
      <w:color w:val="000000"/>
    </w:rPr>
  </w:style>
  <w:style w:type="paragraph" w:styleId="Heading4">
    <w:name w:val="heading 4"/>
    <w:basedOn w:val="Normal"/>
    <w:next w:val="Normal"/>
    <w:pPr>
      <w:keepNext/>
      <w:spacing w:after="60"/>
      <w:ind w:left="2880" w:hanging="720"/>
      <w:outlineLvl w:val="3"/>
    </w:pPr>
    <w:rPr>
      <w:rFonts w:ascii="Calibri" w:eastAsia="Calibri" w:hAnsi="Calibri" w:cs="Calibri"/>
      <w:b/>
      <w:bCs/>
      <w:color w:val="000000"/>
      <w:sz w:val="28"/>
      <w:szCs w:val="28"/>
    </w:rPr>
  </w:style>
  <w:style w:type="paragraph" w:styleId="Heading5">
    <w:name w:val="heading 5"/>
    <w:basedOn w:val="Normal"/>
    <w:next w:val="Normal"/>
    <w:pPr>
      <w:spacing w:after="60"/>
      <w:ind w:left="3600" w:hanging="720"/>
      <w:outlineLvl w:val="4"/>
    </w:pPr>
    <w:rPr>
      <w:rFonts w:ascii="Calibri" w:eastAsia="Calibri" w:hAnsi="Calibri" w:cs="Calibri"/>
      <w:b/>
      <w:bCs/>
      <w:i/>
      <w:iCs/>
      <w:color w:val="000000"/>
    </w:rPr>
  </w:style>
  <w:style w:type="paragraph" w:styleId="Heading6">
    <w:name w:val="heading 6"/>
    <w:basedOn w:val="Normal"/>
    <w:next w:val="Normal"/>
    <w:pPr>
      <w:spacing w:after="60"/>
      <w:ind w:left="4320" w:hanging="720"/>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53" w:type="dxa"/>
        <w:bottom w:w="0" w:type="dxa"/>
        <w:right w:w="115" w:type="dxa"/>
      </w:tblCellMar>
    </w:tblPr>
  </w:style>
  <w:style w:type="table" w:customStyle="1" w:styleId="a0">
    <w:basedOn w:val="TableNormal0"/>
    <w:tblPr>
      <w:tblStyleRowBandSize w:val="1"/>
      <w:tblStyleColBandSize w:val="1"/>
      <w:tblCellMar>
        <w:top w:w="0" w:type="dxa"/>
        <w:left w:w="83" w:type="dxa"/>
        <w:bottom w:w="0" w:type="dxa"/>
        <w:right w:w="115" w:type="dxa"/>
      </w:tblCellMar>
    </w:tblPr>
  </w:style>
  <w:style w:type="table" w:customStyle="1" w:styleId="a1">
    <w:basedOn w:val="TableNormal0"/>
    <w:tblPr>
      <w:tblStyleRowBandSize w:val="1"/>
      <w:tblStyleColBandSize w:val="1"/>
      <w:tblCellMar>
        <w:top w:w="0" w:type="dxa"/>
        <w:left w:w="83" w:type="dxa"/>
        <w:bottom w:w="0" w:type="dxa"/>
        <w:right w:w="115" w:type="dxa"/>
      </w:tblCellMar>
    </w:tblPr>
  </w:style>
  <w:style w:type="table" w:customStyle="1" w:styleId="a2">
    <w:basedOn w:val="TableNormal0"/>
    <w:tblPr>
      <w:tblStyleRowBandSize w:val="1"/>
      <w:tblStyleColBandSize w:val="1"/>
      <w:tblCellMar>
        <w:top w:w="0" w:type="dxa"/>
        <w:left w:w="83" w:type="dxa"/>
        <w:bottom w:w="0" w:type="dxa"/>
        <w:right w:w="115" w:type="dxa"/>
      </w:tblCellMar>
    </w:tblPr>
  </w:style>
  <w:style w:type="table" w:customStyle="1" w:styleId="a3">
    <w:basedOn w:val="TableNormal0"/>
    <w:tblPr>
      <w:tblStyleRowBandSize w:val="1"/>
      <w:tblStyleColBandSize w:val="1"/>
      <w:tblCellMar>
        <w:top w:w="0" w:type="dxa"/>
        <w:left w:w="83" w:type="dxa"/>
        <w:bottom w:w="0" w:type="dxa"/>
        <w:right w:w="115" w:type="dxa"/>
      </w:tblCellMar>
    </w:tblPr>
  </w:style>
  <w:style w:type="table" w:customStyle="1" w:styleId="a4">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0"/>
    <w:rPr>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uipo.europa.eu/eSearch/"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euipo.europa.eu/eSearch/"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uipo.europa.eu/eSearch/" TargetMode="External"/><Relationship Id="rId11" Type="http://schemas.openxmlformats.org/officeDocument/2006/relationships/hyperlink" Target="https://euipo.europa.eu/eSearch/" TargetMode="External"/><Relationship Id="rId5" Type="http://schemas.openxmlformats.org/officeDocument/2006/relationships/hyperlink" Target="https://euipo.europa.eu/eSearch/" TargetMode="External"/><Relationship Id="rId15" Type="http://schemas.openxmlformats.org/officeDocument/2006/relationships/fontTable" Target="fontTable.xml"/><Relationship Id="rId10" Type="http://schemas.openxmlformats.org/officeDocument/2006/relationships/hyperlink" Target="https://euipo.europa.eu/eSearch/" TargetMode="External"/><Relationship Id="rId4" Type="http://schemas.openxmlformats.org/officeDocument/2006/relationships/webSettings" Target="webSettings.xml"/><Relationship Id="rId9" Type="http://schemas.openxmlformats.org/officeDocument/2006/relationships/hyperlink" Target="https://euipo.europa.eu/eSearch/"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VW3neLzi/6Vmveg+pkmd7jNUmQ==">CgMxLjAyDmguZGVzZmc3bTBrcHE4OAByITFaTnllSHRwSDA4WDNVQkE0ZmM0WGFKSXg1aUU5X3NEbw==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1560</Words>
  <Characters>8893</Characters>
  <Application>Microsoft Office Word</Application>
  <DocSecurity>0</DocSecurity>
  <Lines>74</Lines>
  <Paragraphs>20</Paragraphs>
  <ScaleCrop>false</ScaleCrop>
  <Company>Hewlett-Packard Company</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Deneroff</cp:lastModifiedBy>
  <cp:revision>4</cp:revision>
  <dcterms:created xsi:type="dcterms:W3CDTF">2026-05-29T22:46:00Z</dcterms:created>
  <dcterms:modified xsi:type="dcterms:W3CDTF">2026-06-24T14:16:00Z</dcterms:modified>
</cp:coreProperties>
</file>